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40" w:lineRule="auto"/>
        <w:ind w:left="0" w:right="0"/>
        <w:jc w:val="center"/>
        <w:rPr>
          <w:rFonts w:ascii="微软雅黑" w:hAnsi="微软雅黑" w:eastAsia="微软雅黑" w:cs="微软雅黑"/>
          <w:color w:val="428EDC"/>
          <w:sz w:val="39"/>
          <w:szCs w:val="39"/>
        </w:rPr>
      </w:pPr>
      <w:r>
        <w:rPr>
          <w:rFonts w:hint="eastAsia" w:ascii="微软雅黑" w:hAnsi="微软雅黑" w:eastAsia="微软雅黑" w:cs="微软雅黑"/>
          <w:color w:val="428EDC"/>
          <w:kern w:val="0"/>
          <w:sz w:val="39"/>
          <w:szCs w:val="39"/>
          <w:bdr w:val="none" w:color="auto" w:sz="0" w:space="0"/>
          <w:lang w:val="en-US" w:eastAsia="zh-CN" w:bidi="ar"/>
        </w:rPr>
        <w:t>科技部关于发布国家重点研发计划“干细胞及转化研究”等重点专项2019年度项目申报指南的通知</w:t>
      </w:r>
    </w:p>
    <w:p>
      <w:pPr>
        <w:keepNext w:val="0"/>
        <w:keepLines w:val="0"/>
        <w:widowControl/>
        <w:suppressLineNumbers w:val="0"/>
        <w:pBdr>
          <w:top w:val="none" w:color="auto" w:sz="0" w:space="0"/>
          <w:left w:val="none" w:color="auto" w:sz="0" w:space="0"/>
          <w:bottom w:val="dashed" w:color="999999" w:sz="6" w:space="7"/>
          <w:right w:val="none" w:color="auto" w:sz="0" w:space="0"/>
        </w:pBdr>
        <w:spacing w:before="150" w:beforeAutospacing="0" w:after="300" w:afterAutospacing="0" w:line="600" w:lineRule="atLeast"/>
        <w:ind w:left="0" w:right="0"/>
        <w:jc w:val="center"/>
        <w:rPr>
          <w:rFonts w:ascii="Tahoma" w:hAnsi="Tahoma" w:eastAsia="Tahoma" w:cs="Tahoma"/>
          <w:color w:val="999999"/>
          <w:sz w:val="18"/>
          <w:szCs w:val="18"/>
        </w:rPr>
      </w:pPr>
      <w:r>
        <w:rPr>
          <w:rFonts w:hint="default" w:ascii="Tahoma" w:hAnsi="Tahoma" w:eastAsia="Tahoma" w:cs="Tahoma"/>
          <w:color w:val="999999"/>
          <w:kern w:val="0"/>
          <w:sz w:val="18"/>
          <w:szCs w:val="18"/>
          <w:bdr w:val="none" w:color="auto" w:sz="0" w:space="0"/>
          <w:lang w:val="en-US" w:eastAsia="zh-CN" w:bidi="ar"/>
        </w:rPr>
        <w:t>发布时间： 2019年01月25日    来源：科学技术部</w:t>
      </w:r>
    </w:p>
    <w:p>
      <w:pPr>
        <w:pStyle w:val="2"/>
        <w:keepNext w:val="0"/>
        <w:keepLines w:val="0"/>
        <w:widowControl/>
        <w:suppressLineNumbers w:val="0"/>
        <w:snapToGrid w:val="0"/>
        <w:spacing w:before="150" w:beforeAutospacing="0" w:after="150" w:afterAutospacing="0" w:line="450" w:lineRule="atLeast"/>
        <w:ind w:left="0" w:right="0"/>
        <w:jc w:val="center"/>
        <w:rPr>
          <w:rFonts w:hint="eastAsia" w:ascii="宋体" w:hAnsi="宋体" w:eastAsia="宋体" w:cs="宋体"/>
          <w:sz w:val="26"/>
          <w:szCs w:val="26"/>
        </w:rPr>
      </w:pPr>
      <w:r>
        <w:rPr>
          <w:rFonts w:hint="eastAsia" w:ascii="宋体" w:hAnsi="宋体" w:eastAsia="宋体" w:cs="宋体"/>
          <w:snapToGrid w:val="0"/>
          <w:color w:val="444444"/>
          <w:sz w:val="26"/>
          <w:szCs w:val="26"/>
        </w:rPr>
        <w:t>国科发资〔2019〕41号</w:t>
      </w:r>
    </w:p>
    <w:p>
      <w:pPr>
        <w:pStyle w:val="2"/>
        <w:keepNext w:val="0"/>
        <w:keepLines w:val="0"/>
        <w:widowControl/>
        <w:suppressLineNumbers w:val="0"/>
        <w:snapToGrid w:val="0"/>
        <w:spacing w:before="150" w:beforeAutospacing="0" w:after="150" w:afterAutospacing="0" w:line="450" w:lineRule="atLeast"/>
        <w:ind w:left="0" w:right="0"/>
        <w:jc w:val="center"/>
        <w:rPr>
          <w:rFonts w:hint="eastAsia" w:ascii="宋体" w:hAnsi="宋体" w:eastAsia="宋体" w:cs="宋体"/>
          <w:sz w:val="26"/>
          <w:szCs w:val="26"/>
        </w:rPr>
      </w:pPr>
      <w:r>
        <w:rPr>
          <w:rFonts w:hint="eastAsia" w:ascii="宋体" w:hAnsi="宋体" w:eastAsia="宋体" w:cs="宋体"/>
          <w:snapToGrid w:val="0"/>
          <w:color w:val="444444"/>
          <w:sz w:val="26"/>
          <w:szCs w:val="26"/>
        </w:rPr>
        <w:t> </w:t>
      </w:r>
    </w:p>
    <w:p>
      <w:pPr>
        <w:pStyle w:val="2"/>
        <w:keepNext w:val="0"/>
        <w:keepLines w:val="0"/>
        <w:widowControl/>
        <w:suppressLineNumbers w:val="0"/>
        <w:snapToGrid w:val="0"/>
        <w:spacing w:before="150" w:beforeAutospacing="0" w:after="150" w:afterAutospacing="0" w:line="450" w:lineRule="atLeast"/>
        <w:ind w:left="0" w:right="0"/>
        <w:rPr>
          <w:rFonts w:hint="eastAsia" w:ascii="宋体" w:hAnsi="宋体" w:eastAsia="宋体" w:cs="宋体"/>
          <w:sz w:val="26"/>
          <w:szCs w:val="26"/>
        </w:rPr>
      </w:pPr>
      <w:r>
        <w:rPr>
          <w:rFonts w:hint="eastAsia" w:ascii="宋体" w:hAnsi="宋体" w:eastAsia="宋体" w:cs="宋体"/>
          <w:snapToGrid w:val="0"/>
          <w:color w:val="444444"/>
          <w:sz w:val="26"/>
          <w:szCs w:val="26"/>
        </w:rPr>
        <w:t>各省、自治区、直辖市及计划单列市科技厅（委、局），新疆生产建设兵团科技局，国务院各有关部门科技主管司局，各有关单位：</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根据国务院印发的《关于深化中央财政科技计划（专项、基金等）管理改革的方案》（国发〔2014〕64号）的总体部署，按照《关于鼓励香港特别行政区、澳门特别行政区高等院校和科研机构参与中央财政科技计划（专项、基金等）组织实施的若干规定（试行）》（国科发资〔2018〕43号）及国家重点研发计划组织管理的相关要求，在2018年“变革性技术关键科学问题”等3个重点专项对港澳开放申报试点的基础上，“干细胞及转化研究”等6个重点专项继续对港澳特区开放，鼓励港澳高校联合内地单位共同申报，现将2019年度项目申报指南予以发布。请根据指南要求组织项目申报工作。有关事项通知如下。</w:t>
      </w:r>
      <w:r>
        <w:rPr>
          <w:rFonts w:hint="eastAsia" w:ascii="宋体" w:hAnsi="宋体" w:eastAsia="宋体" w:cs="宋体"/>
          <w:snapToGrid w:val="0"/>
          <w:color w:val="444444"/>
          <w:sz w:val="26"/>
          <w:szCs w:val="26"/>
        </w:rPr>
        <w:br w:type="textWrapping"/>
      </w:r>
      <w:r>
        <w:rPr>
          <w:rStyle w:val="4"/>
          <w:rFonts w:hint="eastAsia" w:ascii="宋体" w:hAnsi="宋体" w:eastAsia="宋体" w:cs="宋体"/>
          <w:snapToGrid w:val="0"/>
          <w:color w:val="444444"/>
          <w:sz w:val="26"/>
          <w:szCs w:val="26"/>
        </w:rPr>
        <w:t>    一、项目组织申报工作流程</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 项目的组织实施应整合集成全国相关领域的优势创新团队，聚焦研发问题，强化基础研究、共性关键技术研发和典型应用示范各项任务间的统筹衔接，集中力量，联合攻关。</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3. 国家重点研发计划项目申报评审采取填写预申报书、正式申报书两步进行，具体工作流程如下：</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项目申报单位根据指南相关申报要求，通过国家科技管理信息系统填写并提交3000字左右的项目预申报书，详细说明申报项目的目标和指标，简要说明创新思路、技术路线和研究基础。从指南发布日到预申报书受理截止日不少于50天。</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——各推荐单位加强对所推荐的项目申报材料审核把关，按时将推荐项目通过国家科技管理信息系统统一报送。</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——专业机构受理项目预申报。为确保合理的竞争度，单个指南方向只有1家申报的，该指南方向不启动后续项目评审立项程序，择期重新研究发布指南。</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——申报单位在接到专业机构关于进入答辩评审的通知后，通过国家科技管理信息系统填写并提交项目正式申报书。正式申报书受理时间为30天。</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Pr>
          <w:rFonts w:hint="eastAsia" w:ascii="宋体" w:hAnsi="宋体" w:eastAsia="宋体" w:cs="宋体"/>
          <w:snapToGrid w:val="0"/>
          <w:color w:val="444444"/>
          <w:sz w:val="26"/>
          <w:szCs w:val="26"/>
        </w:rPr>
        <w:br w:type="textWrapping"/>
      </w:r>
      <w:r>
        <w:rPr>
          <w:rStyle w:val="4"/>
          <w:rFonts w:hint="eastAsia" w:ascii="宋体" w:hAnsi="宋体" w:eastAsia="宋体" w:cs="宋体"/>
          <w:snapToGrid w:val="0"/>
          <w:color w:val="444444"/>
          <w:sz w:val="26"/>
          <w:szCs w:val="26"/>
        </w:rPr>
        <w:t>    二、组织申报的推荐单位</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1. 国务院有关部门科技主管司局；</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 各省、自治区、直辖市、计划单列市及新疆生产建设兵团科技主管部门；</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3. 原工业部门转制成立的行业协会；</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4. 纳入科技部试点范围并且评估结果为A类的产业技术创新战略联盟，以及纳入科技部、财政部开展的科技服务业创新发展行业试点联盟。</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5. 港澳高校牵头申报的项目，分别由香港创新科技署、澳门科学技术发展基金按要求组织推荐。</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各推荐单位应在本单位职能和业务范围内组织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Pr>
          <w:rFonts w:hint="eastAsia" w:ascii="宋体" w:hAnsi="宋体" w:eastAsia="宋体" w:cs="宋体"/>
          <w:snapToGrid w:val="0"/>
          <w:color w:val="444444"/>
          <w:sz w:val="26"/>
          <w:szCs w:val="26"/>
        </w:rPr>
        <w:br w:type="textWrapping"/>
      </w:r>
      <w:r>
        <w:rPr>
          <w:rStyle w:val="4"/>
          <w:rFonts w:hint="eastAsia" w:ascii="宋体" w:hAnsi="宋体" w:eastAsia="宋体" w:cs="宋体"/>
          <w:snapToGrid w:val="0"/>
          <w:color w:val="444444"/>
          <w:sz w:val="26"/>
          <w:szCs w:val="26"/>
        </w:rPr>
        <w:t>    三、申请资格要求</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1. 牵头申报单位和参与单位应为中国大陆境内注册的科研院所、高等学校和企业等（以下简称内地单位），或由内地与香港、内地与澳门科技合作委员会协商确定的港澳高校（名单见附件1）。内地单位应具有独立法人资格，注册时间为2017年12月31日前，有较强的科技研发能力和条件，运行管理规范。国家机关不得牵头或参与申报。</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项目牵头申报单位、项目参与单位以及项目团队成员诚信状况良好，无在惩戒执行期内的科研严重失信行为记录和相关社会领域信用“黑名单”记录。</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申报单位同一个项目只能通过单个推荐单位申报，不得多头申报和重复申报。</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 项目（课题）负责人须具有高级职称或博士学位，1959年1月1日以后出生，每年用于项目的工作时间不得少于6个月。港澳申报人员应爱国爱港、爱国爱澳。</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3. 项目（课题）负责人原则上应为该项目（课题）主体研究思路的提出者和实际主持研究的科技人员。中央、地方各级国家机关及港澳特区的公务人员（包括行使科技计划管理职能的其他人员）不得申报项目（课题）。</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项目（课题）负责人、项目骨干的申报项目和改革前计划、国家科技重大专项、国家重点研发计划在研项目（课题）总数不得超过2个；改革前计划、国家科技重大专项、国家重点研发计划的在研项目（含任务或课题）负责人不得因申报国家重点研发计划重点专项项目（课题）而退出目前承担的项目（含任务或课题）；国家重点研发计划的在研项目（含任务或课题）负责人和项目骨干退出项目研发团队后，在原项目执行期内原则上不得牵头或参与申报新的国家重点研发计划项目。</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计划任务书执行期（包括延期后的执行期）到2019年6月30日之前的在研项目（含任务或课题）不在限项范围内。</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5. 特邀咨评委委员不得申报项目（课题）；参与重点专项实施方案或本年度项目指南编制的专家，不得申报该重点专项项目（课题）。</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6. 受聘于内地单位或有关港澳高校的外籍科学家及港、澳、台地区科学家可作为重点专项的项目（课题）负责人，全职受聘人员须提供全职聘用的有效材料，非全职受聘人员须由双方单位同时提供聘用的有效材料，并随纸质项目预申报书一并报送。</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7. 申报项目受理后，原则上不得更改申报单位和负责人。</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8. 项目的具体申报要求，详见各重点专项的申报指南。</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各申报单位在正式提交项目申报书前可利用国家科技管理信息系统公共服务平台查询相关科研人员承担改革前计划和国家科技重大专项、国家重点研发计划重点专项在研项目情况，避免重复申报。</w:t>
      </w:r>
      <w:r>
        <w:rPr>
          <w:rFonts w:hint="eastAsia" w:ascii="宋体" w:hAnsi="宋体" w:eastAsia="宋体" w:cs="宋体"/>
          <w:snapToGrid w:val="0"/>
          <w:color w:val="444444"/>
          <w:sz w:val="26"/>
          <w:szCs w:val="26"/>
        </w:rPr>
        <w:br w:type="textWrapping"/>
      </w:r>
      <w:r>
        <w:rPr>
          <w:rStyle w:val="4"/>
          <w:rFonts w:hint="eastAsia" w:ascii="宋体" w:hAnsi="宋体" w:eastAsia="宋体" w:cs="宋体"/>
          <w:snapToGrid w:val="0"/>
          <w:color w:val="444444"/>
          <w:sz w:val="26"/>
          <w:szCs w:val="26"/>
        </w:rPr>
        <w:t>    四、具体申报方式</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项目申报单位网上填报预申报书的受理时间为：2019年2月 13日8:00至2019年3月25日16:00。进入答辩评审环节的申报项目，由申报单位按要求填报正式申报书，并通过国家科技管理信息系统提交，具体时间和有关要求另行通知。</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国家科技管理信息系统公共服务平台：</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http://service.most.gov.cn；</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技术咨询电话：010-58882999（中继线）；</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技术咨询邮箱：program@istic.ac.cn。</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 组织推荐。请推荐单位于2019年3月27日前（以寄出时间为准），将加盖推荐单位公章的推荐函（纸质，一式2份）、推荐项目清单（纸质，一式2份）寄送中国科学技术信息研究所。推荐项目清单须通过系统直接生成打印（项目清单应与信息系统中提交的推荐项目一致）。</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寄送地址：北京市海淀区复兴路15号中信所170室，邮编：100038。</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联系电话：010-58882171。</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3. 材料报送和业务咨询。请申报单位于2019年3月27日前（以寄出时间为准），将加盖申报单位公章的项目预申报书（纸质，一式2份），寄送承担项目所属重点专项管理的专业机构。项目预申报书须通过系统直接生成打印。</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各重点专项的咨询电话及寄送地址如下：</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(1)“干细胞及转化研究”重点专项咨询电话：010-88225180。</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中国生物技术发展中心，寄送地址：北京市海淀区西四环中路16号院4号楼，邮编：100039。</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(2)“纳米科技”重点专项咨询电话：010-68104460。</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(3)“量子调控与量子信息”重点专项咨询电话：010-68104388。</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(4)“大科学装置前沿研究”重点专项咨询电话：010-68104776。</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(5)“蛋白质机器与生命过程调控”重点专项咨询电话：010-68104344。</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(6)“全球变化及应对”重点专项咨询电话：010-68104432。</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科学技术部高技术研究发展中心，寄送地址：北京市海淀区三里河路一号西苑饭店九号楼（计划与监督处），邮编：100044。</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附件：</w:t>
      </w:r>
    </w:p>
    <w:p>
      <w:pPr>
        <w:pStyle w:val="2"/>
        <w:keepNext w:val="0"/>
        <w:keepLines w:val="0"/>
        <w:widowControl/>
        <w:suppressLineNumbers w:val="0"/>
        <w:snapToGrid w:val="0"/>
        <w:spacing w:before="150" w:beforeAutospacing="0" w:after="150" w:afterAutospacing="0" w:line="450" w:lineRule="atLeast"/>
        <w:ind w:left="0" w:right="0"/>
        <w:rPr>
          <w:rFonts w:hint="eastAsia" w:ascii="宋体" w:hAnsi="宋体" w:eastAsia="宋体" w:cs="宋体"/>
          <w:sz w:val="26"/>
          <w:szCs w:val="26"/>
        </w:rPr>
      </w:pPr>
      <w:r>
        <w:rPr>
          <w:rFonts w:hint="eastAsia" w:ascii="宋体" w:hAnsi="宋体" w:eastAsia="宋体" w:cs="宋体"/>
          <w:snapToGrid w:val="0"/>
          <w:color w:val="444444"/>
          <w:sz w:val="26"/>
          <w:szCs w:val="26"/>
        </w:rPr>
        <w:t xml:space="preserve">    1. </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"http://service.most.gov.cn/u/cms/static/201901/25173652mwje.pdf"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内地与香港、内地与澳门科技合作委员会协商确定的港澳高校名单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"http://service.most.gov.cn/u/cms/static/201901/25173706t7oo.pdf"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干细胞及转化研究”重点专项2019年度项目申报指南</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"http://service.most.gov.cn/u/cms/static/201901/251737385bqg.pdf"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形式审查条件要求</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"http://service.most.gov.cn/u/cms/static/201901/25173758o2nl.pdf"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指南编制专家名单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3.“</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"http://service.most.gov.cn/u/cms/static/201901/251738089tbu.pdf"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纳米科技”重点专项2019年度项目申报指南</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"http://service.most.gov.cn/u/cms/static/201901/25173818g689.pdf"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形式审查条件要求</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"http://service.most.gov.cn/u/cms/static/201901/251738271oda.pdf"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指南编制专家名单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4.“</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"http://service.most.gov.cn/u/cms/static/201901/25173836j2vn.pdf"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量子调控与量子信息”重点专项2019年度项目申报指南</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"http://service.most.gov.cn/u/cms/static/201901/25173847nfic.pdf"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形式审查条件要求</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"http://service.most.gov.cn/u/cms/static/201901/25173856dqkr.pdf"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指南编制专家名单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5.“</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"http://service.most.gov.cn/u/cms/static/201901/251739066mrb.pdf"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大科学装置前沿研究”重点专项2019年度项目申报指南</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"http://service.most.gov.cn/u/cms/static/201901/25173915vpu2.pdf"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形式审查条件要求</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"http://service.most.gov.cn/u/cms/static/201901/25173925k4wu.pdf"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指南编制专家名单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6.“</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"http://service.most.gov.cn/u/cms/static/201901/25173935kpl7.pdf"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蛋白质机器与生命过程调控”重点专项2019年度项目申报指南</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"http://service.most.gov.cn/u/cms/static/201901/25173945cp53.pdf"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形式审查条件要求</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"http://service.most.gov.cn/u/cms/static/201901/25173955f2f7.pdf"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指南编制专家名单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7.“</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"http://service.most.gov.cn/u/cms/static/201901/25174008ahrj.pdf"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全球变化及应对”重点专项2019年度项目申报指南</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"http://service.most.gov.cn/u/cms/static/201901/25174019hucs.pdf"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形式审查条件要求</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r>
        <w:rPr>
          <w:rFonts w:hint="eastAsia" w:ascii="宋体" w:hAnsi="宋体" w:eastAsia="宋体" w:cs="宋体"/>
          <w:snapToGrid w:val="0"/>
          <w:sz w:val="26"/>
          <w:szCs w:val="26"/>
        </w:rPr>
        <w:fldChar w:fldCharType="begin"/>
      </w:r>
      <w:r>
        <w:rPr>
          <w:rFonts w:hint="eastAsia" w:ascii="宋体" w:hAnsi="宋体" w:eastAsia="宋体" w:cs="宋体"/>
          <w:snapToGrid w:val="0"/>
          <w:sz w:val="26"/>
          <w:szCs w:val="26"/>
        </w:rPr>
        <w:instrText xml:space="preserve"> HYPERLINK "http://service.most.gov.cn/u/cms/static/201901/251740307deg.pdf" \t "http://service.most.gov.cn/2015tztg_all/20190125/_self" </w:instrText>
      </w:r>
      <w:r>
        <w:rPr>
          <w:rFonts w:hint="eastAsia" w:ascii="宋体" w:hAnsi="宋体" w:eastAsia="宋体" w:cs="宋体"/>
          <w:snapToGrid w:val="0"/>
          <w:sz w:val="26"/>
          <w:szCs w:val="26"/>
        </w:rPr>
        <w:fldChar w:fldCharType="separate"/>
      </w:r>
      <w:r>
        <w:rPr>
          <w:rStyle w:val="5"/>
          <w:rFonts w:hint="eastAsia" w:ascii="宋体" w:hAnsi="宋体" w:eastAsia="宋体" w:cs="宋体"/>
          <w:snapToGrid w:val="0"/>
          <w:sz w:val="26"/>
          <w:szCs w:val="26"/>
        </w:rPr>
        <w:t>指南编制专家名单</w:t>
      </w:r>
      <w:r>
        <w:rPr>
          <w:rFonts w:hint="eastAsia" w:ascii="宋体" w:hAnsi="宋体" w:eastAsia="宋体" w:cs="宋体"/>
          <w:snapToGrid w:val="0"/>
          <w:sz w:val="26"/>
          <w:szCs w:val="26"/>
        </w:rPr>
        <w:fldChar w:fldCharType="end"/>
      </w:r>
      <w:r>
        <w:rPr>
          <w:rFonts w:hint="eastAsia" w:ascii="宋体" w:hAnsi="宋体" w:eastAsia="宋体" w:cs="宋体"/>
          <w:snapToGrid w:val="0"/>
          <w:color w:val="444444"/>
          <w:sz w:val="26"/>
          <w:szCs w:val="26"/>
        </w:rPr>
        <w:t>）</w:t>
      </w:r>
    </w:p>
    <w:p>
      <w:pPr>
        <w:pStyle w:val="2"/>
        <w:keepNext w:val="0"/>
        <w:keepLines w:val="0"/>
        <w:widowControl/>
        <w:suppressLineNumbers w:val="0"/>
        <w:snapToGrid w:val="0"/>
        <w:spacing w:before="150" w:beforeAutospacing="0" w:after="150" w:afterAutospacing="0" w:line="450" w:lineRule="atLeast"/>
        <w:ind w:left="0" w:right="0"/>
        <w:rPr>
          <w:rFonts w:hint="eastAsia" w:ascii="宋体" w:hAnsi="宋体" w:eastAsia="宋体" w:cs="宋体"/>
          <w:sz w:val="26"/>
          <w:szCs w:val="26"/>
        </w:rPr>
      </w:pPr>
      <w:r>
        <w:rPr>
          <w:rFonts w:hint="eastAsia" w:ascii="宋体" w:hAnsi="宋体" w:eastAsia="宋体" w:cs="宋体"/>
          <w:snapToGrid w:val="0"/>
          <w:color w:val="444444"/>
          <w:sz w:val="26"/>
          <w:szCs w:val="26"/>
          <w:bdr w:val="none" w:color="auto" w:sz="0" w:space="0"/>
        </w:rPr>
        <w:t> </w:t>
      </w:r>
    </w:p>
    <w:p>
      <w:pPr>
        <w:pStyle w:val="2"/>
        <w:keepNext w:val="0"/>
        <w:keepLines w:val="0"/>
        <w:widowControl/>
        <w:suppressLineNumbers w:val="0"/>
        <w:snapToGrid w:val="0"/>
        <w:spacing w:before="150" w:beforeAutospacing="0" w:after="150" w:afterAutospacing="0" w:line="450" w:lineRule="atLeast"/>
        <w:ind w:left="0" w:right="0"/>
        <w:jc w:val="right"/>
        <w:rPr>
          <w:rFonts w:hint="eastAsia" w:ascii="宋体" w:hAnsi="宋体" w:eastAsia="宋体" w:cs="宋体"/>
          <w:sz w:val="26"/>
          <w:szCs w:val="26"/>
        </w:rPr>
      </w:pPr>
      <w:r>
        <w:rPr>
          <w:rFonts w:hint="eastAsia" w:ascii="宋体" w:hAnsi="宋体" w:eastAsia="宋体" w:cs="宋体"/>
          <w:snapToGrid w:val="0"/>
          <w:color w:val="444444"/>
          <w:sz w:val="26"/>
          <w:szCs w:val="26"/>
        </w:rPr>
        <w:t>                                                                      科 技 部</w:t>
      </w:r>
      <w:r>
        <w:rPr>
          <w:rFonts w:hint="eastAsia" w:ascii="宋体" w:hAnsi="宋体" w:eastAsia="宋体" w:cs="宋体"/>
          <w:snapToGrid w:val="0"/>
          <w:color w:val="444444"/>
          <w:sz w:val="26"/>
          <w:szCs w:val="26"/>
        </w:rPr>
        <w:br w:type="textWrapping"/>
      </w:r>
      <w:r>
        <w:rPr>
          <w:rFonts w:hint="eastAsia" w:ascii="宋体" w:hAnsi="宋体" w:eastAsia="宋体" w:cs="宋体"/>
          <w:snapToGrid w:val="0"/>
          <w:color w:val="444444"/>
          <w:sz w:val="26"/>
          <w:szCs w:val="26"/>
        </w:rPr>
        <w:t>                                                                2019年1月21日签发</w:t>
      </w:r>
    </w:p>
    <w:p>
      <w:pPr>
        <w:pStyle w:val="2"/>
        <w:keepNext w:val="0"/>
        <w:keepLines w:val="0"/>
        <w:widowControl/>
        <w:suppressLineNumbers w:val="0"/>
        <w:snapToGrid w:val="0"/>
        <w:spacing w:before="150" w:beforeAutospacing="0" w:after="150" w:afterAutospacing="0" w:line="450" w:lineRule="atLeast"/>
        <w:ind w:left="0" w:right="0"/>
        <w:jc w:val="right"/>
        <w:rPr>
          <w:rFonts w:hint="eastAsia" w:ascii="宋体" w:hAnsi="宋体" w:eastAsia="宋体" w:cs="宋体"/>
          <w:sz w:val="26"/>
          <w:szCs w:val="26"/>
        </w:rPr>
      </w:pPr>
      <w:r>
        <w:rPr>
          <w:rFonts w:hint="eastAsia" w:ascii="宋体" w:hAnsi="宋体" w:eastAsia="宋体" w:cs="宋体"/>
          <w:snapToGrid w:val="0"/>
          <w:color w:val="444444"/>
          <w:sz w:val="26"/>
          <w:szCs w:val="26"/>
        </w:rPr>
        <w:t>                                                                2019年1月25日发布</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A65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2019-01-28T11:32:59Z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2052-11.1.0.8135</vt:lpwstr>
  </property>
</Properties>
</file>