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61D87">
      <w:pPr>
        <w:pStyle w:val="2"/>
        <w:spacing w:before="0" w:after="156" w:afterLines="50" w:line="360" w:lineRule="auto"/>
        <w:rPr>
          <w:rFonts w:hint="eastAsia" w:eastAsia="宋体"/>
          <w:color w:val="auto"/>
          <w:sz w:val="36"/>
          <w:szCs w:val="36"/>
          <w:lang w:val="en-US" w:eastAsia="zh-CN"/>
        </w:rPr>
      </w:pPr>
      <w:r>
        <w:rPr>
          <w:rFonts w:hint="eastAsia" w:eastAsia="宋体"/>
          <w:color w:val="auto"/>
          <w:sz w:val="36"/>
          <w:szCs w:val="36"/>
          <w:lang w:val="en-US" w:eastAsia="zh-CN"/>
        </w:rPr>
        <w:t>2026年</w:t>
      </w:r>
      <w:r>
        <w:rPr>
          <w:rFonts w:hint="eastAsia" w:eastAsia="宋体"/>
          <w:color w:val="auto"/>
          <w:sz w:val="36"/>
          <w:szCs w:val="36"/>
        </w:rPr>
        <w:t>中国高校产学研创新基金－迈瑞专项</w:t>
      </w:r>
    </w:p>
    <w:p w14:paraId="70177498">
      <w:pPr>
        <w:pStyle w:val="2"/>
        <w:spacing w:before="0" w:after="156" w:afterLines="50" w:line="360" w:lineRule="auto"/>
        <w:rPr>
          <w:rFonts w:eastAsia="宋体"/>
          <w:color w:val="auto"/>
          <w:sz w:val="36"/>
          <w:szCs w:val="36"/>
        </w:rPr>
      </w:pPr>
      <w:r>
        <w:rPr>
          <w:rFonts w:hint="eastAsia" w:eastAsia="宋体"/>
          <w:color w:val="auto"/>
          <w:sz w:val="36"/>
          <w:szCs w:val="36"/>
        </w:rPr>
        <w:t>申请指南说明</w:t>
      </w:r>
    </w:p>
    <w:p w14:paraId="4EE0E008">
      <w:pPr>
        <w:pStyle w:val="2"/>
        <w:spacing w:before="0" w:after="156" w:afterLines="50" w:line="360" w:lineRule="auto"/>
        <w:rPr>
          <w:rFonts w:eastAsia="宋体"/>
          <w:color w:val="auto"/>
          <w:szCs w:val="32"/>
        </w:rPr>
      </w:pPr>
    </w:p>
    <w:p w14:paraId="23FF73A4">
      <w:pPr>
        <w:spacing w:before="0" w:after="0" w:line="360" w:lineRule="auto"/>
        <w:ind w:firstLine="560"/>
        <w:rPr>
          <w:color w:val="auto"/>
          <w:sz w:val="28"/>
          <w:szCs w:val="28"/>
        </w:rPr>
      </w:pPr>
      <w:r>
        <w:rPr>
          <w:rFonts w:hint="eastAsia"/>
          <w:sz w:val="28"/>
          <w:szCs w:val="28"/>
        </w:rPr>
        <w:t>根据《关于申报2026年中国高校产学研创新基金的通知》（教科发中心函〔2026〕5号）的相关要求，教育部高等学校科学研究发展中心与深圳迈瑞生物医疗电子股份有限公司设立</w:t>
      </w:r>
      <w:r>
        <w:rPr>
          <w:rFonts w:hint="eastAsia"/>
          <w:color w:val="auto"/>
          <w:sz w:val="28"/>
          <w:szCs w:val="28"/>
        </w:rPr>
        <w:t>“</w:t>
      </w:r>
      <w:r>
        <w:rPr>
          <w:rFonts w:hint="eastAsia"/>
          <w:color w:val="auto"/>
          <w:sz w:val="28"/>
          <w:szCs w:val="28"/>
          <w:lang w:val="en-US" w:eastAsia="zh-CN"/>
        </w:rPr>
        <w:t>2026年</w:t>
      </w:r>
      <w:r>
        <w:rPr>
          <w:rFonts w:hint="eastAsia"/>
          <w:color w:val="auto"/>
          <w:sz w:val="28"/>
          <w:szCs w:val="28"/>
        </w:rPr>
        <w:t>中国</w:t>
      </w:r>
      <w:r>
        <w:rPr>
          <w:color w:val="auto"/>
          <w:sz w:val="28"/>
          <w:szCs w:val="28"/>
        </w:rPr>
        <w:t>高校产学研创新基金—</w:t>
      </w:r>
      <w:r>
        <w:rPr>
          <w:rFonts w:hint="eastAsia"/>
          <w:color w:val="auto"/>
          <w:sz w:val="28"/>
          <w:szCs w:val="28"/>
        </w:rPr>
        <w:t>迈瑞专项”，用以支持高校在医学检验、超声、监护、骨科和医工领域的创新研究。</w:t>
      </w:r>
    </w:p>
    <w:p w14:paraId="1A04212A">
      <w:pPr>
        <w:spacing w:before="0" w:after="0" w:line="360" w:lineRule="auto"/>
        <w:ind w:firstLine="643"/>
        <w:rPr>
          <w:b/>
          <w:bCs/>
          <w:color w:val="auto"/>
          <w:sz w:val="32"/>
          <w:szCs w:val="32"/>
        </w:rPr>
      </w:pPr>
      <w:r>
        <w:rPr>
          <w:rFonts w:hint="eastAsia"/>
          <w:b/>
          <w:bCs/>
          <w:color w:val="auto"/>
          <w:sz w:val="32"/>
          <w:szCs w:val="32"/>
        </w:rPr>
        <w:t>一、课题说明</w:t>
      </w:r>
    </w:p>
    <w:p w14:paraId="2B78FFC8">
      <w:pPr>
        <w:numPr>
          <w:ilvl w:val="0"/>
          <w:numId w:val="2"/>
        </w:numPr>
        <w:spacing w:before="0" w:after="0" w:line="360" w:lineRule="auto"/>
        <w:ind w:firstLine="560"/>
        <w:rPr>
          <w:color w:val="auto"/>
          <w:sz w:val="28"/>
          <w:szCs w:val="28"/>
        </w:rPr>
      </w:pPr>
      <w:r>
        <w:rPr>
          <w:rFonts w:hint="eastAsia"/>
          <w:color w:val="auto"/>
          <w:sz w:val="28"/>
          <w:szCs w:val="28"/>
        </w:rPr>
        <w:t>专项课题旨在全国范围内遴选合作高校，共同关注临床诊疗实际需求，通过基础研究、临床应用研究和教学实践，构建产、学、研、医、用深度融合体系，培养具备基于临床实践的科研思维的应用型创新人才，为进一步优化诊疗方案提供依据，助力医学高质量发展。</w:t>
      </w:r>
    </w:p>
    <w:p w14:paraId="5BF965FC">
      <w:pPr>
        <w:numPr>
          <w:ilvl w:val="0"/>
          <w:numId w:val="2"/>
        </w:numPr>
        <w:spacing w:before="0" w:after="0" w:line="360" w:lineRule="auto"/>
        <w:ind w:firstLine="560"/>
        <w:rPr>
          <w:color w:val="auto"/>
          <w:sz w:val="28"/>
          <w:szCs w:val="28"/>
        </w:rPr>
      </w:pPr>
      <w:r>
        <w:rPr>
          <w:rFonts w:hint="eastAsia"/>
          <w:color w:val="auto"/>
          <w:sz w:val="28"/>
          <w:szCs w:val="28"/>
        </w:rPr>
        <w:t>专项课题基于常规/创新的检测平台、技术及指标在疾病诊疗过程中的应用价值，拟开展临床检验、超声、监护、骨科和医工等五个医学的子领域相关应用研究。</w:t>
      </w:r>
    </w:p>
    <w:p w14:paraId="09CA5595">
      <w:pPr>
        <w:numPr>
          <w:ilvl w:val="0"/>
          <w:numId w:val="2"/>
        </w:numPr>
        <w:spacing w:before="0" w:after="0" w:line="360" w:lineRule="auto"/>
        <w:ind w:firstLine="560"/>
        <w:rPr>
          <w:color w:val="auto"/>
          <w:sz w:val="28"/>
          <w:szCs w:val="28"/>
        </w:rPr>
      </w:pPr>
      <w:r>
        <w:rPr>
          <w:rFonts w:hint="eastAsia"/>
          <w:color w:val="auto"/>
          <w:sz w:val="28"/>
          <w:szCs w:val="28"/>
        </w:rPr>
        <w:t>根据确定的研究内容，“迈瑞专项”为每个立项课题提供不低于10万元的研究经费及科研软硬件平台的支持（研究经费不低于总经费的50%），课题申请人无需向资助企业额外购买配套的设备或试剂。</w:t>
      </w:r>
    </w:p>
    <w:p w14:paraId="3241F139">
      <w:pPr>
        <w:numPr>
          <w:ilvl w:val="0"/>
          <w:numId w:val="2"/>
        </w:numPr>
        <w:spacing w:before="0" w:after="0" w:line="360" w:lineRule="auto"/>
        <w:ind w:firstLine="560"/>
        <w:rPr>
          <w:color w:val="auto"/>
          <w:sz w:val="28"/>
          <w:szCs w:val="28"/>
          <w:highlight w:val="none"/>
        </w:rPr>
      </w:pPr>
      <w:r>
        <w:rPr>
          <w:rFonts w:hint="eastAsia"/>
          <w:color w:val="auto"/>
          <w:sz w:val="28"/>
          <w:szCs w:val="28"/>
          <w:highlight w:val="none"/>
        </w:rPr>
        <w:t>课题的</w:t>
      </w:r>
      <w:r>
        <w:rPr>
          <w:color w:val="auto"/>
          <w:sz w:val="28"/>
          <w:szCs w:val="28"/>
          <w:highlight w:val="none"/>
        </w:rPr>
        <w:t>申请截止时间为</w:t>
      </w:r>
      <w:r>
        <w:rPr>
          <w:rFonts w:hint="eastAsia"/>
          <w:color w:val="auto"/>
          <w:sz w:val="28"/>
          <w:szCs w:val="28"/>
          <w:highlight w:val="none"/>
        </w:rPr>
        <w:t>2026年</w:t>
      </w:r>
      <w:r>
        <w:rPr>
          <w:rFonts w:hint="eastAsia"/>
          <w:color w:val="auto"/>
          <w:sz w:val="28"/>
          <w:szCs w:val="28"/>
          <w:highlight w:val="none"/>
          <w:lang w:val="en-US" w:eastAsia="zh-CN"/>
        </w:rPr>
        <w:t>11</w:t>
      </w:r>
      <w:r>
        <w:rPr>
          <w:rFonts w:hint="eastAsia"/>
          <w:color w:val="auto"/>
          <w:sz w:val="28"/>
          <w:szCs w:val="28"/>
          <w:highlight w:val="none"/>
        </w:rPr>
        <w:t>月</w:t>
      </w:r>
      <w:r>
        <w:rPr>
          <w:rFonts w:hint="eastAsia"/>
          <w:color w:val="auto"/>
          <w:sz w:val="28"/>
          <w:szCs w:val="28"/>
          <w:highlight w:val="none"/>
          <w:lang w:val="en-US" w:eastAsia="zh-CN"/>
        </w:rPr>
        <w:t>6</w:t>
      </w:r>
      <w:r>
        <w:rPr>
          <w:rFonts w:hint="eastAsia"/>
          <w:color w:val="auto"/>
          <w:sz w:val="28"/>
          <w:szCs w:val="28"/>
          <w:highlight w:val="none"/>
        </w:rPr>
        <w:t>日</w:t>
      </w:r>
      <w:r>
        <w:rPr>
          <w:color w:val="auto"/>
          <w:sz w:val="28"/>
          <w:szCs w:val="28"/>
          <w:highlight w:val="none"/>
        </w:rPr>
        <w:t>。计划</w:t>
      </w:r>
      <w:r>
        <w:rPr>
          <w:rFonts w:hint="eastAsia"/>
          <w:color w:val="auto"/>
          <w:sz w:val="28"/>
          <w:szCs w:val="28"/>
          <w:highlight w:val="none"/>
        </w:rPr>
        <w:t>执行时间为2027年1月1日～2027年12月31日。</w:t>
      </w:r>
    </w:p>
    <w:p w14:paraId="26CFE51C">
      <w:pPr>
        <w:numPr>
          <w:ilvl w:val="0"/>
          <w:numId w:val="2"/>
        </w:numPr>
        <w:spacing w:before="0" w:after="0" w:line="360" w:lineRule="auto"/>
        <w:ind w:firstLine="560"/>
        <w:rPr>
          <w:color w:val="auto"/>
          <w:sz w:val="28"/>
          <w:szCs w:val="28"/>
        </w:rPr>
      </w:pPr>
      <w:r>
        <w:rPr>
          <w:rFonts w:hint="eastAsia"/>
          <w:color w:val="auto"/>
          <w:sz w:val="28"/>
          <w:szCs w:val="28"/>
        </w:rPr>
        <w:t>课题所获得的知识产权由资助企业和</w:t>
      </w:r>
      <w:r>
        <w:rPr>
          <w:color w:val="auto"/>
          <w:sz w:val="28"/>
          <w:szCs w:val="28"/>
        </w:rPr>
        <w:t>课题承担单位共同</w:t>
      </w:r>
      <w:r>
        <w:rPr>
          <w:rFonts w:hint="eastAsia"/>
          <w:color w:val="auto"/>
          <w:sz w:val="28"/>
          <w:szCs w:val="28"/>
        </w:rPr>
        <w:t>所有。</w:t>
      </w:r>
    </w:p>
    <w:p w14:paraId="10952F01">
      <w:pPr>
        <w:numPr>
          <w:ilvl w:val="0"/>
          <w:numId w:val="2"/>
        </w:numPr>
        <w:spacing w:before="0" w:after="0" w:line="360" w:lineRule="auto"/>
        <w:ind w:firstLine="560"/>
        <w:rPr>
          <w:color w:val="auto"/>
          <w:sz w:val="28"/>
          <w:szCs w:val="28"/>
        </w:rPr>
      </w:pPr>
      <w:r>
        <w:rPr>
          <w:rFonts w:hint="eastAsia"/>
          <w:color w:val="auto"/>
          <w:sz w:val="28"/>
          <w:szCs w:val="28"/>
        </w:rPr>
        <w:t>课题分为固定课题（表一）和自主课题（表二）两类：</w:t>
      </w:r>
    </w:p>
    <w:p w14:paraId="0FDA51AE">
      <w:pPr>
        <w:tabs>
          <w:tab w:val="left" w:pos="312"/>
        </w:tabs>
        <w:spacing w:before="0" w:after="0" w:line="360" w:lineRule="auto"/>
        <w:ind w:firstLine="560"/>
        <w:rPr>
          <w:color w:val="auto"/>
          <w:sz w:val="24"/>
          <w:szCs w:val="24"/>
        </w:rPr>
      </w:pPr>
      <w:r>
        <w:rPr>
          <w:rFonts w:hint="eastAsia"/>
          <w:color w:val="auto"/>
          <w:sz w:val="28"/>
          <w:szCs w:val="28"/>
        </w:rPr>
        <w:t>（1）固定课题：根据产业发展需要</w:t>
      </w:r>
      <w:r>
        <w:rPr>
          <w:rFonts w:hint="eastAsia"/>
          <w:color w:val="auto"/>
          <w:sz w:val="28"/>
          <w:szCs w:val="28"/>
          <w:lang w:eastAsia="zh-CN"/>
        </w:rPr>
        <w:t>，</w:t>
      </w:r>
      <w:r>
        <w:rPr>
          <w:rFonts w:hint="eastAsia"/>
          <w:color w:val="auto"/>
          <w:sz w:val="28"/>
          <w:szCs w:val="28"/>
          <w:lang w:val="en-US" w:eastAsia="zh-CN"/>
        </w:rPr>
        <w:t>聚焦</w:t>
      </w:r>
      <w:r>
        <w:rPr>
          <w:rFonts w:hint="eastAsia"/>
          <w:color w:val="auto"/>
          <w:sz w:val="28"/>
          <w:szCs w:val="28"/>
        </w:rPr>
        <w:t>提升和优化企业现有产品在临床诊疗中的实际应用价值，设立相关的科研课题，申请院校从固定课题（表一）中选择课题方向进行申报，要求基于本专项提供的试剂和设备平台（见表三）开展研究。</w:t>
      </w:r>
    </w:p>
    <w:p w14:paraId="457C2EBE">
      <w:pPr>
        <w:spacing w:before="0" w:after="0" w:line="360" w:lineRule="auto"/>
        <w:ind w:firstLine="562"/>
        <w:jc w:val="center"/>
        <w:rPr>
          <w:color w:val="auto"/>
          <w:sz w:val="28"/>
          <w:szCs w:val="28"/>
        </w:rPr>
      </w:pPr>
      <w:r>
        <w:rPr>
          <w:rFonts w:hint="eastAsia"/>
          <w:b/>
          <w:color w:val="auto"/>
          <w:sz w:val="28"/>
          <w:szCs w:val="28"/>
        </w:rPr>
        <w:t>表一 固定课题选题列表</w:t>
      </w:r>
    </w:p>
    <w:tbl>
      <w:tblPr>
        <w:tblStyle w:val="12"/>
        <w:tblW w:w="9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2390"/>
        <w:gridCol w:w="6254"/>
      </w:tblGrid>
      <w:tr w14:paraId="6C0E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BFBFBF"/>
            <w:vAlign w:val="center"/>
          </w:tcPr>
          <w:p w14:paraId="481A0125">
            <w:pPr>
              <w:ind w:firstLine="19" w:firstLineChars="9"/>
              <w:jc w:val="center"/>
              <w:rPr>
                <w:b/>
                <w:color w:val="auto"/>
                <w:szCs w:val="21"/>
              </w:rPr>
            </w:pPr>
            <w:r>
              <w:rPr>
                <w:b/>
                <w:color w:val="auto"/>
                <w:szCs w:val="21"/>
              </w:rPr>
              <w:t>方向编号</w:t>
            </w:r>
          </w:p>
        </w:tc>
        <w:tc>
          <w:tcPr>
            <w:tcW w:w="2390"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28AAC548">
            <w:pPr>
              <w:ind w:firstLine="0" w:firstLineChars="0"/>
              <w:jc w:val="center"/>
              <w:rPr>
                <w:b/>
                <w:color w:val="auto"/>
                <w:szCs w:val="21"/>
              </w:rPr>
            </w:pPr>
            <w:r>
              <w:rPr>
                <w:b/>
                <w:color w:val="auto"/>
                <w:szCs w:val="21"/>
              </w:rPr>
              <w:t>课题方向</w:t>
            </w:r>
          </w:p>
        </w:tc>
        <w:tc>
          <w:tcPr>
            <w:tcW w:w="6254" w:type="dxa"/>
            <w:tcBorders>
              <w:top w:val="single" w:color="auto" w:sz="4" w:space="0"/>
              <w:left w:val="single" w:color="auto" w:sz="4" w:space="0"/>
              <w:bottom w:val="single" w:color="auto" w:sz="4" w:space="0"/>
              <w:right w:val="single" w:color="auto" w:sz="4" w:space="0"/>
            </w:tcBorders>
            <w:shd w:val="clear" w:color="auto" w:fill="BFBFBF"/>
            <w:noWrap/>
            <w:vAlign w:val="center"/>
          </w:tcPr>
          <w:p w14:paraId="3A5F10A8">
            <w:pPr>
              <w:ind w:firstLine="0" w:firstLineChars="0"/>
              <w:jc w:val="center"/>
              <w:rPr>
                <w:b/>
                <w:color w:val="auto"/>
                <w:szCs w:val="21"/>
              </w:rPr>
            </w:pPr>
            <w:r>
              <w:rPr>
                <w:b/>
                <w:color w:val="auto"/>
                <w:szCs w:val="21"/>
              </w:rPr>
              <w:t>课题研究内容</w:t>
            </w:r>
          </w:p>
        </w:tc>
      </w:tr>
      <w:tr w14:paraId="6D00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E8FCF1F">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A01</w:t>
            </w:r>
          </w:p>
        </w:tc>
        <w:tc>
          <w:tcPr>
            <w:tcW w:w="2390" w:type="dxa"/>
            <w:tcBorders>
              <w:top w:val="single" w:color="auto" w:sz="4" w:space="0"/>
              <w:left w:val="single" w:color="auto" w:sz="4" w:space="0"/>
              <w:bottom w:val="single" w:color="auto" w:sz="4" w:space="0"/>
              <w:right w:val="single" w:color="auto" w:sz="4" w:space="0"/>
            </w:tcBorders>
            <w:noWrap/>
            <w:vAlign w:val="center"/>
          </w:tcPr>
          <w:p w14:paraId="3E098A3D">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免疫：新型感染标志物在感染性疾病、自身免疫性疾病诊断、用药及预后中的临床应用研究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0F0925EC">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基于新型化学发光法检测的感染标志物在感染性疾病、自身免疫性疾病诊断、用药及预后的临床应用价值，并验证其临床诊疗及预后的价值，评估感染标志物在诊断准确性、敏感性和特异性等方面的优势，以及在治疗效果及预后评估等方面的价值，构建基于新型感染标志物的诊断及预后评估模型，为临床决策提供依据。</w:t>
            </w:r>
          </w:p>
        </w:tc>
      </w:tr>
      <w:tr w14:paraId="13DD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48595A3C">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A02</w:t>
            </w:r>
          </w:p>
        </w:tc>
        <w:tc>
          <w:tcPr>
            <w:tcW w:w="2390" w:type="dxa"/>
            <w:tcBorders>
              <w:top w:val="single" w:color="auto" w:sz="4" w:space="0"/>
              <w:left w:val="single" w:color="auto" w:sz="4" w:space="0"/>
              <w:bottom w:val="single" w:color="auto" w:sz="4" w:space="0"/>
              <w:right w:val="single" w:color="auto" w:sz="4" w:space="0"/>
            </w:tcBorders>
            <w:noWrap/>
            <w:vAlign w:val="center"/>
          </w:tcPr>
          <w:p w14:paraId="26E79B9F">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免疫：新型传染性疾病标志物在传染病诊断、用药及预后的临床应用研究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1E49E4DA">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围绕传染性疾病患者全程管理的临床诊疗需求，通过新型传染性疾病标志物（HBcrAg等）与其他标志物联合建立诊断、停药后复发及并发症发生的预测模型，对患者进行风险分层，辅助决策患者是否需要接受针对性治疗及评估患者的治疗效果；为停药决策提供精准判断依据。</w:t>
            </w:r>
          </w:p>
        </w:tc>
      </w:tr>
      <w:tr w14:paraId="6167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291E7473">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A03</w:t>
            </w:r>
          </w:p>
        </w:tc>
        <w:tc>
          <w:tcPr>
            <w:tcW w:w="2390" w:type="dxa"/>
            <w:tcBorders>
              <w:top w:val="single" w:color="auto" w:sz="4" w:space="0"/>
              <w:left w:val="single" w:color="auto" w:sz="4" w:space="0"/>
              <w:bottom w:val="single" w:color="auto" w:sz="4" w:space="0"/>
              <w:right w:val="single" w:color="auto" w:sz="4" w:space="0"/>
            </w:tcBorders>
            <w:noWrap/>
            <w:vAlign w:val="center"/>
          </w:tcPr>
          <w:p w14:paraId="10662A56">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免疫：肿瘤标志物在肿瘤疾病中预防、诊断、疗效及预后的临床应用研究。或肿瘤标志物在非肿瘤疾病中的应用探索。</w:t>
            </w:r>
          </w:p>
        </w:tc>
        <w:tc>
          <w:tcPr>
            <w:tcW w:w="6254" w:type="dxa"/>
            <w:tcBorders>
              <w:top w:val="single" w:color="auto" w:sz="4" w:space="0"/>
              <w:left w:val="single" w:color="auto" w:sz="4" w:space="0"/>
              <w:bottom w:val="single" w:color="auto" w:sz="4" w:space="0"/>
              <w:right w:val="single" w:color="auto" w:sz="4" w:space="0"/>
            </w:tcBorders>
            <w:noWrap/>
            <w:vAlign w:val="center"/>
          </w:tcPr>
          <w:p w14:paraId="3A72CE74">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围绕我国肿瘤患者全程管理的临床诊疗需求，探讨化学发光法检测的肿瘤新标志物的病理、生理影响因素和检测干扰因素，确定利用肿瘤标志物开展肿瘤筛查的指征、参考范围和诊断价值，为实现我国肿瘤患者的早期诊断和精准治疗提供新依据。或开展肿瘤标志物在非肿瘤疾病中的探索应用。</w:t>
            </w:r>
          </w:p>
        </w:tc>
      </w:tr>
      <w:tr w14:paraId="172B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4999E252">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A04</w:t>
            </w:r>
          </w:p>
        </w:tc>
        <w:tc>
          <w:tcPr>
            <w:tcW w:w="2390" w:type="dxa"/>
            <w:tcBorders>
              <w:top w:val="single" w:color="auto" w:sz="4" w:space="0"/>
              <w:left w:val="single" w:color="auto" w:sz="4" w:space="0"/>
              <w:bottom w:val="single" w:color="auto" w:sz="4" w:space="0"/>
              <w:right w:val="single" w:color="auto" w:sz="4" w:space="0"/>
            </w:tcBorders>
            <w:noWrap/>
            <w:vAlign w:val="center"/>
          </w:tcPr>
          <w:p w14:paraId="2F8C4B6B">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sz w:val="24"/>
                <w:szCs w:val="24"/>
              </w:rPr>
            </w:pPr>
            <w:r>
              <w:rPr>
                <w:rFonts w:eastAsiaTheme="minorEastAsia"/>
                <w:sz w:val="24"/>
                <w:szCs w:val="24"/>
              </w:rPr>
              <w:t>免疫：临床多疾病场景下甲状腺疾病精准筛查及病情评估</w:t>
            </w:r>
          </w:p>
        </w:tc>
        <w:tc>
          <w:tcPr>
            <w:tcW w:w="6254" w:type="dxa"/>
            <w:tcBorders>
              <w:top w:val="single" w:color="auto" w:sz="4" w:space="0"/>
              <w:left w:val="single" w:color="auto" w:sz="4" w:space="0"/>
              <w:bottom w:val="single" w:color="auto" w:sz="4" w:space="0"/>
              <w:right w:val="single" w:color="auto" w:sz="4" w:space="0"/>
            </w:tcBorders>
            <w:noWrap/>
            <w:vAlign w:val="center"/>
          </w:tcPr>
          <w:p w14:paraId="3436035D">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sz w:val="24"/>
                <w:szCs w:val="24"/>
              </w:rPr>
            </w:pPr>
            <w:r>
              <w:rPr>
                <w:rFonts w:eastAsiaTheme="minorEastAsia"/>
                <w:sz w:val="24"/>
                <w:szCs w:val="24"/>
              </w:rPr>
              <w:t>本研究将分析现有的甲状腺疾病筛查方法的优缺点及适用范围，包括血清甲状腺激素水平检测、甲状腺超声检查、细针穿刺活检等，并在此基础上探索新型的筛查方法以期提高甲状腺疾病的筛查精度和效率。同时围绕不同人群及疾病场景下甲状腺疾病全程管理的临床诊疗需求，构建基于多模态数据的甲状腺疾病诊断模型，并进一步研究甲状腺疾病的病情评估体系，包括评估指标的选取、评估标准的制定以及评估方法的优化。同时探索将病情评估与患者的生活质量、预后等因素相结合，以提供全面的病情评估结果。并通过分析大量甲状腺疾病患者的数据，构建基于大数据的预测模型，以预测患者的疾病发展趋势、治疗效果、参考值制定和共识指南的修订等提供参考依据。</w:t>
            </w:r>
          </w:p>
        </w:tc>
      </w:tr>
      <w:tr w14:paraId="0A26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A9CDD0F">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A05</w:t>
            </w:r>
          </w:p>
        </w:tc>
        <w:tc>
          <w:tcPr>
            <w:tcW w:w="2390" w:type="dxa"/>
            <w:tcBorders>
              <w:top w:val="single" w:color="auto" w:sz="4" w:space="0"/>
              <w:left w:val="single" w:color="auto" w:sz="4" w:space="0"/>
              <w:bottom w:val="single" w:color="auto" w:sz="4" w:space="0"/>
              <w:right w:val="single" w:color="auto" w:sz="4" w:space="0"/>
            </w:tcBorders>
            <w:noWrap/>
            <w:vAlign w:val="center"/>
          </w:tcPr>
          <w:p w14:paraId="3ED93209">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免疫：内分泌激素在生长发育或妊娠相关疾病的诊疗价值研究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2D6155D8">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sz w:val="24"/>
                <w:szCs w:val="24"/>
              </w:rPr>
            </w:pPr>
            <w:r>
              <w:rPr>
                <w:rFonts w:eastAsiaTheme="minorEastAsia"/>
                <w:sz w:val="24"/>
                <w:szCs w:val="24"/>
              </w:rPr>
              <w:t>本研究围绕特定人群（包括新生儿、婴幼儿、青少年及孕妇）在生长发育或妊娠相关疾病的诊疗需求，深入探讨生长发育相关内分泌激素在儿童生长发育及妊娠阶段生理学、病理生理学的变化因素以及免疫检测方法学特异性的影响因素，最终确定相关疾病标志物的检测指征、诊断效能、参考范围及诊断价值，为妊娠期和儿童生长发育阶段的内分泌失调的早期诊断和个体化治疗提供科学依据。</w:t>
            </w:r>
          </w:p>
        </w:tc>
      </w:tr>
      <w:tr w14:paraId="5728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143A3478">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A06</w:t>
            </w:r>
          </w:p>
        </w:tc>
        <w:tc>
          <w:tcPr>
            <w:tcW w:w="2390" w:type="dxa"/>
            <w:tcBorders>
              <w:top w:val="single" w:color="auto" w:sz="4" w:space="0"/>
              <w:left w:val="single" w:color="auto" w:sz="4" w:space="0"/>
              <w:bottom w:val="single" w:color="auto" w:sz="4" w:space="0"/>
              <w:right w:val="single" w:color="auto" w:sz="4" w:space="0"/>
            </w:tcBorders>
            <w:noWrap/>
            <w:vAlign w:val="center"/>
          </w:tcPr>
          <w:p w14:paraId="17FB897B">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免疫：心脏标志物在心血管疾病风险预测、诊断、疗效与预后评估的应用研究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27D5FBC4">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探讨心脏标志（hs-cTnI等）在高血压、糖尿病、慢性肾病、高脂血症、感染性疾病、急重症等患者中发生不良心血管事件的筛查指征、参考范围、诊断价值，为优化不同人群心血管事件的预测、诊断、疗效与预后评估提供科学依据。</w:t>
            </w:r>
          </w:p>
        </w:tc>
      </w:tr>
      <w:tr w14:paraId="20DC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42AB10FF">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A07</w:t>
            </w:r>
          </w:p>
        </w:tc>
        <w:tc>
          <w:tcPr>
            <w:tcW w:w="2390" w:type="dxa"/>
            <w:tcBorders>
              <w:top w:val="single" w:color="auto" w:sz="4" w:space="0"/>
              <w:left w:val="single" w:color="auto" w:sz="4" w:space="0"/>
              <w:bottom w:val="single" w:color="auto" w:sz="4" w:space="0"/>
              <w:right w:val="single" w:color="auto" w:sz="4" w:space="0"/>
            </w:tcBorders>
            <w:noWrap/>
            <w:vAlign w:val="center"/>
          </w:tcPr>
          <w:p w14:paraId="37B7EF2A">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凝血：易栓症标志物的诊断效能研究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265EE0A5">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以血栓高风险人群（包含妊娠期、抗磷脂综合征患者、复发性流产患者、多发性骨髓瘤、不明原因动静脉血栓患者或少见部位血栓患者等）为研究对象，探讨凝血，抗凝等指标在血栓高风险人群的诊断价值，为疾病精准化诊断和治疗提供依据。</w:t>
            </w:r>
          </w:p>
        </w:tc>
      </w:tr>
      <w:tr w14:paraId="1670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571F55B9">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A08</w:t>
            </w:r>
          </w:p>
        </w:tc>
        <w:tc>
          <w:tcPr>
            <w:tcW w:w="2390" w:type="dxa"/>
            <w:tcBorders>
              <w:top w:val="single" w:color="auto" w:sz="4" w:space="0"/>
              <w:left w:val="single" w:color="auto" w:sz="4" w:space="0"/>
              <w:bottom w:val="single" w:color="auto" w:sz="4" w:space="0"/>
              <w:right w:val="single" w:color="auto" w:sz="4" w:space="0"/>
            </w:tcBorders>
            <w:noWrap/>
            <w:vAlign w:val="center"/>
          </w:tcPr>
          <w:p w14:paraId="68288C9F">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凝血：凝血指标在静脉血栓栓塞症诊断及治疗监测的临床价值研究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76A7979C">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本研究探索凝血指标在临床常用溶栓药物（如阿替普酶等）治疗前后变化规律，为个性化溶栓治疗提供依据。</w:t>
            </w:r>
          </w:p>
        </w:tc>
      </w:tr>
      <w:tr w14:paraId="462EA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694BA26A">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A09</w:t>
            </w:r>
          </w:p>
        </w:tc>
        <w:tc>
          <w:tcPr>
            <w:tcW w:w="2390" w:type="dxa"/>
            <w:tcBorders>
              <w:top w:val="single" w:color="auto" w:sz="4" w:space="0"/>
              <w:left w:val="single" w:color="auto" w:sz="4" w:space="0"/>
              <w:bottom w:val="single" w:color="auto" w:sz="4" w:space="0"/>
              <w:right w:val="single" w:color="auto" w:sz="4" w:space="0"/>
            </w:tcBorders>
            <w:noWrap/>
            <w:vAlign w:val="center"/>
          </w:tcPr>
          <w:p w14:paraId="15A2B166">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凝血：凝血检测试剂抗干扰性能和线性范围、参考范围的研究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1D7C575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检测结果的准确性易受内源性（如溶血、脂血、胆红素）及外源性（如药物、抗凝剂）干扰，并且依赖于试剂的线性范围和参考范围。本课题旨在系统研究干扰物、线性范围和参考范围对凝血检测结果的影响，评估、探讨凝血试剂的抗干扰能力、线性范围、参考范围在临床的应用价值。</w:t>
            </w:r>
          </w:p>
        </w:tc>
      </w:tr>
      <w:tr w14:paraId="7B5B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5C7CC8A">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A10</w:t>
            </w:r>
          </w:p>
        </w:tc>
        <w:tc>
          <w:tcPr>
            <w:tcW w:w="2390" w:type="dxa"/>
            <w:tcBorders>
              <w:top w:val="single" w:color="auto" w:sz="4" w:space="0"/>
              <w:left w:val="single" w:color="auto" w:sz="4" w:space="0"/>
              <w:bottom w:val="single" w:color="auto" w:sz="4" w:space="0"/>
              <w:right w:val="single" w:color="auto" w:sz="4" w:space="0"/>
            </w:tcBorders>
            <w:noWrap/>
            <w:vAlign w:val="center"/>
          </w:tcPr>
          <w:p w14:paraId="5CFE9090">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生化：实验室生化指标检测中常见干扰机理及预防性研究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2CFCDAA0">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通过探讨实验室生化指标检测中常见的干扰物干扰的机理，并研究抗干扰新技术在临床实验室生化指标检测中准确性优化，最终确认抗干扰新技术在心血管、肝病、肾病等临床疾病精准检测、疗效评估中的应用价值。</w:t>
            </w:r>
          </w:p>
        </w:tc>
      </w:tr>
      <w:tr w14:paraId="2A90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1346D2F3">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A11</w:t>
            </w:r>
          </w:p>
        </w:tc>
        <w:tc>
          <w:tcPr>
            <w:tcW w:w="2390" w:type="dxa"/>
            <w:tcBorders>
              <w:top w:val="single" w:color="auto" w:sz="4" w:space="0"/>
              <w:left w:val="single" w:color="auto" w:sz="4" w:space="0"/>
              <w:bottom w:val="single" w:color="auto" w:sz="4" w:space="0"/>
              <w:right w:val="single" w:color="auto" w:sz="4" w:space="0"/>
            </w:tcBorders>
            <w:noWrap/>
            <w:vAlign w:val="center"/>
          </w:tcPr>
          <w:p w14:paraId="1F17777E">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生化：糖尿病等代谢性疾病、动脉粥样硬化等心血管疾病实验诊断、防控体系建立及应用研究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624FCDA0">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围绕糖尿病、动脉粥样硬化等疾病实验诊断、防控体系开展，可针对不同的人群（青少年、老人、妊娠期患者等），研究实验室血糖、血脂相关指标在该疾病的预防、早筛早诊、风险评估、严重度分层、疗效监测或预后判断中的价值，构建糖尿病、动脉粥样硬化等疾病的安全有效的诊疗模型，为临床提供更加具有指导价值的辅助诊断工具。</w:t>
            </w:r>
          </w:p>
        </w:tc>
      </w:tr>
      <w:tr w14:paraId="63B67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7F5DD4F2">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A12</w:t>
            </w:r>
          </w:p>
        </w:tc>
        <w:tc>
          <w:tcPr>
            <w:tcW w:w="2390" w:type="dxa"/>
            <w:tcBorders>
              <w:top w:val="single" w:color="auto" w:sz="4" w:space="0"/>
              <w:left w:val="single" w:color="auto" w:sz="4" w:space="0"/>
              <w:bottom w:val="single" w:color="auto" w:sz="4" w:space="0"/>
              <w:right w:val="single" w:color="auto" w:sz="4" w:space="0"/>
            </w:tcBorders>
            <w:noWrap/>
            <w:vAlign w:val="center"/>
          </w:tcPr>
          <w:p w14:paraId="4DBF55C1">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生化：基于肝、肾功等多种标志物组合建立疾病的早期预警、疾病诊断模型</w:t>
            </w:r>
          </w:p>
        </w:tc>
        <w:tc>
          <w:tcPr>
            <w:tcW w:w="6254" w:type="dxa"/>
            <w:tcBorders>
              <w:top w:val="single" w:color="auto" w:sz="4" w:space="0"/>
              <w:left w:val="single" w:color="auto" w:sz="4" w:space="0"/>
              <w:bottom w:val="single" w:color="auto" w:sz="4" w:space="0"/>
              <w:right w:val="single" w:color="auto" w:sz="4" w:space="0"/>
            </w:tcBorders>
            <w:noWrap/>
            <w:vAlign w:val="center"/>
          </w:tcPr>
          <w:p w14:paraId="4049A11C">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围绕不同人群（儿童、成人、老年人、妊娠期妇女等）肝肾功能易受到影响的疾病，出于患者的全病程管理，基于无创的血、尿生化检验指标，结合多种标志物检测指标构建相关疾病的早期筛查、早期诊断、鉴别诊断、治疗方案选择、疗效判断及患者预后评估等方面的诊疗模型。</w:t>
            </w:r>
          </w:p>
        </w:tc>
      </w:tr>
      <w:tr w14:paraId="56D6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6A8282FA">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A13</w:t>
            </w:r>
          </w:p>
        </w:tc>
        <w:tc>
          <w:tcPr>
            <w:tcW w:w="2390" w:type="dxa"/>
            <w:tcBorders>
              <w:top w:val="single" w:color="auto" w:sz="4" w:space="0"/>
              <w:left w:val="single" w:color="auto" w:sz="4" w:space="0"/>
              <w:bottom w:val="single" w:color="auto" w:sz="4" w:space="0"/>
              <w:right w:val="single" w:color="auto" w:sz="4" w:space="0"/>
            </w:tcBorders>
            <w:noWrap/>
            <w:vAlign w:val="center"/>
          </w:tcPr>
          <w:p w14:paraId="2BE7AE8D">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临检：基于临床基础检验新技术、新参数对血液疾病、感染性疾病、自身免疫性疾病或肺部、肾脏、胰腺疾病的辅助诊断及临床应用研究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7220291E">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通过研究临床基础检验中血液及尿液新技术、新参数的临床诊疗价值，为血液疾病、感染性疾病、自身免疫性疾病或发生于肺部、肾脏、胰腺的疾病早期筛查、辅助诊断、治疗监测或预后判断提供依据。</w:t>
            </w:r>
          </w:p>
        </w:tc>
      </w:tr>
      <w:tr w14:paraId="17BF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771C0A06">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A14</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B97B6C">
            <w:pPr>
              <w:keepNext w:val="0"/>
              <w:keepLines w:val="0"/>
              <w:pageBreakBefore w:val="0"/>
              <w:widowControl/>
              <w:kinsoku/>
              <w:wordWrap/>
              <w:overflowPunct/>
              <w:topLinePunct w:val="0"/>
              <w:autoSpaceDE/>
              <w:autoSpaceDN/>
              <w:bidi w:val="0"/>
              <w:adjustRightInd/>
              <w:snapToGrid/>
              <w:ind w:firstLine="480" w:firstLineChars="200"/>
              <w:textAlignment w:val="auto"/>
              <w:rPr>
                <w:color w:val="EE0000"/>
              </w:rPr>
            </w:pPr>
            <w:r>
              <w:rPr>
                <w:rFonts w:hint="eastAsia" w:eastAsiaTheme="minorEastAsia"/>
                <w:color w:val="auto"/>
                <w:sz w:val="24"/>
                <w:szCs w:val="24"/>
              </w:rPr>
              <w:t>临检：人工智能在血液细胞形态学，尿液干化学及有形成分分析中的应用研究及</w:t>
            </w:r>
            <w:r>
              <w:rPr>
                <w:rFonts w:eastAsiaTheme="minorEastAsia"/>
                <w:color w:val="auto"/>
                <w:sz w:val="24"/>
                <w:szCs w:val="24"/>
              </w:rPr>
              <w:t>疾病早期筛查和辅助诊断中的临床研究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C09FCC">
            <w:pPr>
              <w:keepNext w:val="0"/>
              <w:keepLines w:val="0"/>
              <w:pageBreakBefore w:val="0"/>
              <w:widowControl/>
              <w:kinsoku/>
              <w:wordWrap/>
              <w:overflowPunct/>
              <w:topLinePunct w:val="0"/>
              <w:autoSpaceDE/>
              <w:autoSpaceDN/>
              <w:bidi w:val="0"/>
              <w:adjustRightInd/>
              <w:snapToGrid/>
              <w:ind w:firstLine="480" w:firstLineChars="200"/>
              <w:textAlignment w:val="auto"/>
              <w:rPr>
                <w:color w:val="EE0000"/>
              </w:rPr>
            </w:pPr>
            <w:r>
              <w:rPr>
                <w:rFonts w:hint="eastAsia" w:eastAsiaTheme="minorEastAsia"/>
                <w:color w:val="auto"/>
                <w:sz w:val="24"/>
                <w:szCs w:val="24"/>
              </w:rPr>
              <w:t>通过研究人工智能在血液细胞形态学分析，尿液干化学及有形成分分析中的应用研究，开展血液系统相关疾病，泌尿系统相关疾病的</w:t>
            </w:r>
            <w:r>
              <w:rPr>
                <w:rFonts w:eastAsiaTheme="minorEastAsia"/>
                <w:color w:val="auto"/>
                <w:sz w:val="24"/>
                <w:szCs w:val="24"/>
              </w:rPr>
              <w:t>早期筛查和辅助诊断</w:t>
            </w:r>
            <w:r>
              <w:rPr>
                <w:rFonts w:hint="eastAsia" w:eastAsiaTheme="minorEastAsia"/>
                <w:color w:val="auto"/>
                <w:sz w:val="24"/>
                <w:szCs w:val="24"/>
              </w:rPr>
              <w:t>临床研究，实现相关疾病的早筛，早诊。</w:t>
            </w:r>
          </w:p>
        </w:tc>
      </w:tr>
      <w:tr w14:paraId="3471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C1A1638">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A15</w:t>
            </w:r>
          </w:p>
        </w:tc>
        <w:tc>
          <w:tcPr>
            <w:tcW w:w="2390" w:type="dxa"/>
            <w:tcBorders>
              <w:top w:val="single" w:color="auto" w:sz="4" w:space="0"/>
              <w:left w:val="single" w:color="auto" w:sz="4" w:space="0"/>
              <w:bottom w:val="single" w:color="auto" w:sz="4" w:space="0"/>
              <w:right w:val="single" w:color="auto" w:sz="4" w:space="0"/>
            </w:tcBorders>
            <w:noWrap/>
            <w:vAlign w:val="center"/>
          </w:tcPr>
          <w:p w14:paraId="2FD32A47">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临检：血液分析及尿液分析的自动审核、复检规则的临床应用研究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5309A7A7">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通过研究临床基础检验中血液、尿液分析的自动审核、复检规则建立的标准，采用人工智能等技术，实现血液分析、尿液分析对异常样本精准检出及精准复检。</w:t>
            </w:r>
          </w:p>
        </w:tc>
      </w:tr>
      <w:tr w14:paraId="4865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6D04010">
            <w:pPr>
              <w:spacing w:before="156" w:beforeLines="50" w:after="156" w:afterLines="50"/>
              <w:ind w:firstLine="21" w:firstLineChars="9"/>
              <w:jc w:val="center"/>
              <w:rPr>
                <w:rFonts w:eastAsiaTheme="minorEastAsia"/>
                <w:color w:val="auto"/>
                <w:sz w:val="24"/>
                <w:szCs w:val="24"/>
              </w:rPr>
            </w:pPr>
            <w:r>
              <w:rPr>
                <w:rFonts w:eastAsiaTheme="minorEastAsia"/>
                <w:color w:val="auto"/>
                <w:sz w:val="24"/>
                <w:szCs w:val="24"/>
              </w:rPr>
              <w:t>A1</w:t>
            </w:r>
            <w:r>
              <w:rPr>
                <w:rFonts w:hint="eastAsia" w:eastAsiaTheme="minorEastAsia"/>
                <w:color w:val="auto"/>
                <w:sz w:val="24"/>
                <w:szCs w:val="24"/>
              </w:rPr>
              <w:t>6</w:t>
            </w:r>
          </w:p>
        </w:tc>
        <w:tc>
          <w:tcPr>
            <w:tcW w:w="2390" w:type="dxa"/>
            <w:tcBorders>
              <w:top w:val="single" w:color="auto" w:sz="4" w:space="0"/>
              <w:left w:val="single" w:color="auto" w:sz="4" w:space="0"/>
              <w:bottom w:val="single" w:color="auto" w:sz="4" w:space="0"/>
              <w:right w:val="single" w:color="auto" w:sz="4" w:space="0"/>
            </w:tcBorders>
            <w:noWrap/>
            <w:vAlign w:val="center"/>
          </w:tcPr>
          <w:p w14:paraId="7E3648E0">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微生物：药敏检测指导临床链球菌感染合理使用抗菌药物的临床价值研究</w:t>
            </w:r>
          </w:p>
        </w:tc>
        <w:tc>
          <w:tcPr>
            <w:tcW w:w="6254" w:type="dxa"/>
            <w:tcBorders>
              <w:top w:val="single" w:color="auto" w:sz="4" w:space="0"/>
              <w:left w:val="single" w:color="auto" w:sz="4" w:space="0"/>
              <w:bottom w:val="single" w:color="auto" w:sz="4" w:space="0"/>
              <w:right w:val="single" w:color="auto" w:sz="4" w:space="0"/>
            </w:tcBorders>
            <w:noWrap/>
            <w:vAlign w:val="center"/>
          </w:tcPr>
          <w:p w14:paraId="0396B9E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eastAsiaTheme="minorEastAsia"/>
                <w:color w:val="auto"/>
                <w:sz w:val="24"/>
                <w:szCs w:val="24"/>
              </w:rPr>
            </w:pPr>
            <w:r>
              <w:rPr>
                <w:rFonts w:eastAsiaTheme="minorEastAsia"/>
                <w:color w:val="auto"/>
                <w:sz w:val="24"/>
                <w:szCs w:val="24"/>
              </w:rPr>
              <w:t>本研究围绕肺炎链球菌药敏检测的不同方法（E-TEST检测、微量肉汤稀释法和已上市自动化药敏检测产品），基于不同样本来源肺炎链球菌有不同的折点，探究不同检测方法/产品对于不同样本来源肺炎链球菌药敏检测的结果准确性，以更好地指导临床针对性使用抗菌药物。研究已上市自动化链球菌药敏检测产品在链球菌药敏检测中的报告时效性和结果准确性，探讨优化检测流程、缩短报告时间和精准报告结果，以更加快速准确的为临床提供药敏结果，指导临床用药。</w:t>
            </w:r>
          </w:p>
        </w:tc>
      </w:tr>
      <w:tr w14:paraId="3F00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00B70D84">
            <w:pPr>
              <w:spacing w:before="156" w:beforeLines="50" w:after="156" w:afterLines="50"/>
              <w:ind w:firstLine="21" w:firstLineChars="9"/>
              <w:jc w:val="center"/>
              <w:rPr>
                <w:rFonts w:eastAsiaTheme="minorEastAsia"/>
                <w:color w:val="auto"/>
                <w:sz w:val="24"/>
                <w:szCs w:val="24"/>
                <w:highlight w:val="yellow"/>
              </w:rPr>
            </w:pPr>
            <w:r>
              <w:rPr>
                <w:rFonts w:hint="eastAsia" w:eastAsiaTheme="minorEastAsia"/>
                <w:color w:val="auto"/>
                <w:sz w:val="24"/>
                <w:szCs w:val="24"/>
              </w:rPr>
              <w:t>A17</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8E2632">
            <w:pPr>
              <w:keepNext w:val="0"/>
              <w:keepLines w:val="0"/>
              <w:pageBreakBefore w:val="0"/>
              <w:widowControl/>
              <w:kinsoku/>
              <w:wordWrap/>
              <w:overflowPunct/>
              <w:topLinePunct w:val="0"/>
              <w:autoSpaceDE/>
              <w:autoSpaceDN/>
              <w:bidi w:val="0"/>
              <w:adjustRightInd/>
              <w:snapToGrid/>
              <w:ind w:firstLine="480" w:firstLineChars="200"/>
              <w:textAlignment w:val="auto"/>
              <w:rPr>
                <w:color w:val="EE0000"/>
              </w:rPr>
            </w:pPr>
            <w:r>
              <w:rPr>
                <w:rFonts w:hint="eastAsia" w:eastAsiaTheme="minorEastAsia"/>
                <w:color w:val="auto"/>
                <w:sz w:val="24"/>
                <w:szCs w:val="24"/>
              </w:rPr>
              <w:t>分子：</w:t>
            </w:r>
            <w:r>
              <w:rPr>
                <w:rFonts w:eastAsiaTheme="minorEastAsia"/>
                <w:color w:val="auto"/>
                <w:sz w:val="24"/>
                <w:szCs w:val="24"/>
              </w:rPr>
              <w:t>呼吸道病原体混合感染高通量快速核酸多重检测在呼吸道感染症候群患者病原谱特点及差异的临床应用研究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5C0A35">
            <w:pPr>
              <w:keepNext w:val="0"/>
              <w:keepLines w:val="0"/>
              <w:pageBreakBefore w:val="0"/>
              <w:widowControl/>
              <w:kinsoku/>
              <w:wordWrap/>
              <w:overflowPunct/>
              <w:topLinePunct w:val="0"/>
              <w:autoSpaceDE/>
              <w:autoSpaceDN/>
              <w:bidi w:val="0"/>
              <w:adjustRightInd/>
              <w:snapToGrid/>
              <w:ind w:firstLine="480" w:firstLineChars="200"/>
              <w:textAlignment w:val="auto"/>
              <w:rPr>
                <w:color w:val="EE0000"/>
              </w:rPr>
            </w:pPr>
            <w:r>
              <w:rPr>
                <w:rFonts w:hint="eastAsia" w:eastAsiaTheme="minorEastAsia"/>
                <w:color w:val="auto"/>
                <w:sz w:val="24"/>
                <w:szCs w:val="24"/>
              </w:rPr>
              <w:t>本</w:t>
            </w:r>
            <w:r>
              <w:rPr>
                <w:rFonts w:eastAsiaTheme="minorEastAsia"/>
                <w:color w:val="auto"/>
                <w:sz w:val="24"/>
                <w:szCs w:val="24"/>
              </w:rPr>
              <w:t>研究围绕疑似呼吸道感染症候群患者核酸快速鉴别的临床诊疗需求，探究门诊/住院感染的病原谱差异、病原体混合感染特点，确定人群症候群病原种类组合，并联合血常规、IL-6、CRP、SAA等和核酸病原指标，提升呼吸道感染疾病高通量、高灵敏、高特异性的核酸快检能力及呼吸道感染疾病鉴别诊断的能力。</w:t>
            </w:r>
          </w:p>
        </w:tc>
      </w:tr>
      <w:tr w14:paraId="735CD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0CA9E760">
            <w:pPr>
              <w:spacing w:before="156" w:beforeLines="50" w:after="156" w:afterLines="50"/>
              <w:ind w:firstLine="21" w:firstLineChars="9"/>
              <w:jc w:val="center"/>
              <w:rPr>
                <w:highlight w:val="yellow"/>
              </w:rPr>
            </w:pPr>
            <w:r>
              <w:rPr>
                <w:rFonts w:eastAsiaTheme="minorEastAsia"/>
                <w:color w:val="auto"/>
                <w:sz w:val="24"/>
                <w:szCs w:val="24"/>
              </w:rPr>
              <w:t>A1</w:t>
            </w:r>
            <w:r>
              <w:rPr>
                <w:rFonts w:hint="eastAsia" w:eastAsiaTheme="minorEastAsia"/>
                <w:color w:val="auto"/>
                <w:sz w:val="24"/>
                <w:szCs w:val="24"/>
              </w:rPr>
              <w:t>8</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E0492">
            <w:pPr>
              <w:keepNext w:val="0"/>
              <w:keepLines w:val="0"/>
              <w:pageBreakBefore w:val="0"/>
              <w:widowControl/>
              <w:kinsoku/>
              <w:wordWrap/>
              <w:overflowPunct/>
              <w:topLinePunct w:val="0"/>
              <w:autoSpaceDE/>
              <w:autoSpaceDN/>
              <w:bidi w:val="0"/>
              <w:adjustRightInd/>
              <w:snapToGrid/>
              <w:ind w:firstLine="480" w:firstLineChars="200"/>
              <w:textAlignment w:val="auto"/>
              <w:rPr>
                <w:color w:val="EE0000"/>
              </w:rPr>
            </w:pPr>
            <w:r>
              <w:rPr>
                <w:rFonts w:hint="eastAsia" w:eastAsiaTheme="minorEastAsia"/>
                <w:color w:val="auto"/>
                <w:sz w:val="24"/>
                <w:szCs w:val="24"/>
              </w:rPr>
              <w:t>分子：HBV、HCV感染患者病毒载量变化规律，及不同免疫状态、不同治疗或不同用药情况下的病毒学特征分析及临床应用研究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A245CF">
            <w:pPr>
              <w:keepNext w:val="0"/>
              <w:keepLines w:val="0"/>
              <w:pageBreakBefore w:val="0"/>
              <w:widowControl/>
              <w:kinsoku/>
              <w:wordWrap/>
              <w:overflowPunct/>
              <w:topLinePunct w:val="0"/>
              <w:autoSpaceDE/>
              <w:autoSpaceDN/>
              <w:bidi w:val="0"/>
              <w:adjustRightInd/>
              <w:snapToGrid/>
              <w:ind w:firstLine="480" w:firstLineChars="200"/>
              <w:textAlignment w:val="auto"/>
              <w:rPr>
                <w:color w:val="EE0000"/>
              </w:rPr>
            </w:pPr>
            <w:r>
              <w:rPr>
                <w:rFonts w:hint="eastAsia" w:eastAsiaTheme="minorEastAsia"/>
                <w:color w:val="auto"/>
                <w:sz w:val="24"/>
                <w:szCs w:val="24"/>
              </w:rPr>
              <w:t>本研究围绕HBV感染患者、HCV感染患者或HBV/HCV合并感染患者开展在患者不同免疫状态下，不同疾病治疗/进展过程中，不同用药情况下开展基于</w:t>
            </w:r>
            <w:r>
              <w:rPr>
                <w:rFonts w:eastAsiaTheme="minorEastAsia"/>
                <w:color w:val="auto"/>
                <w:sz w:val="24"/>
                <w:szCs w:val="24"/>
              </w:rPr>
              <w:t>高通量快速核酸</w:t>
            </w:r>
            <w:r>
              <w:rPr>
                <w:rFonts w:hint="eastAsia" w:eastAsiaTheme="minorEastAsia"/>
                <w:color w:val="auto"/>
                <w:sz w:val="24"/>
                <w:szCs w:val="24"/>
              </w:rPr>
              <w:t>检测的病毒学特征分析及临床应用研究。</w:t>
            </w:r>
          </w:p>
        </w:tc>
      </w:tr>
      <w:tr w14:paraId="0532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1F29FD8">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A1</w:t>
            </w:r>
            <w:r>
              <w:rPr>
                <w:rFonts w:hint="eastAsia" w:eastAsiaTheme="minorEastAsia"/>
                <w:color w:val="auto"/>
                <w:sz w:val="24"/>
                <w:szCs w:val="24"/>
              </w:rPr>
              <w:t>9</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F6B66D">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血流成像：超声微血流成像及定量分析技术在常见疾病临床诊疗中的应用价值研究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FC791C">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本研究拟采用超声微血流成像或其相关的定量分析技术，系统观察并定量表征临床常见疾病的微血流形态学特征与动力学参数，探讨该技术在疾病早期诊断、治疗反应评估或病情动态监测中的潜在应用价值，为临床提供一种无创、便捷、可靠的血流定量评估新手段。</w:t>
            </w:r>
          </w:p>
        </w:tc>
      </w:tr>
      <w:tr w14:paraId="2FDC2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25F268A">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20</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48183">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血流成像：超声显微造影应用于常见疾病诊断、疗效评估及预后预测中的探索研究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81B951">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聚焦临床对组织微循环可视化的迫切需求，采用超声显微造影技术，系统解析基于微循环形态与血流动力学特征的生物学行为及其潜在病理生理机制，探索该技术在常见疾病早期诊断、定量化功能评估、治疗反应监测或预后预测中的临床应用价值，为临床提供无创评估微循环状态的新方法。</w:t>
            </w:r>
          </w:p>
        </w:tc>
      </w:tr>
      <w:tr w14:paraId="2C3A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5874459F">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21</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DE7B0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多参数成像：超声粘弹性成像在常见疾病诊断、疗效评估及预后预测中的应用探索</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62B681">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本研究采用超声粘弹性成像技术或其相关的多参数超声联合应用，定量表征组织的粘弹性力学特征，系统探究该技术在常见疾病精准诊断、定量化病理生理评估、治疗反应监测或预后风险分层中的临床价值，为临床诊疗管理提供基于组织生物力学特性的新策略。</w:t>
            </w:r>
          </w:p>
        </w:tc>
      </w:tr>
      <w:tr w14:paraId="6649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6788B01">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22</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BC2E8C">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多参数成像：新型优化超声剪切波弹性成像在浅表肿瘤的应用价值研究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886FCB">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针对常规超声剪切波弹性在浅表恶性肿瘤无法准确测量的痛点，采用新型优化的瘤内超声剪切波弹性成像，实现对组织硬度的准确定量检测，评估其在浅表肿瘤良恶性鉴别、病理特征预测及疗效评估中的诊断效能，构建优化的诊断模型，提升浅表肿瘤无创诊断的准确性，为临床提供有效、客观的生物力学指标。</w:t>
            </w:r>
          </w:p>
        </w:tc>
      </w:tr>
      <w:tr w14:paraId="6A867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390826CE">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23</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85F27D">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多参数成像：声衰减成像在代谢相关疾病的临床应用研究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CA465">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面向代谢相关脂肪性肝病及相关代谢性疾病对脂肪变定量评估的临床需求，本研究采用声衰减成像或其相关的多参数超声技术，定量评估组织衰减系数，系统探索该技术在代谢相关脂肪性肝病或相关疾病的早期诊断、精准量化评估、治疗动态监测及预后预测中的临床应用价值。</w:t>
            </w:r>
          </w:p>
        </w:tc>
      </w:tr>
      <w:tr w14:paraId="1EF30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012EAFE5">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24</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83D92A">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介入超声：超声新技术在介入诊疗中的应用价值研究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BA1BF8">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围绕超声介入诊疗领域，评估超声新技术在引导穿刺、置管、消融及药物递送等介入操作中的应用效能，探讨新技术或新方法在术前规划、术中引导、疗效评估及并发症监测中的临床价值，提升介入诊疗的安全性与有效性。</w:t>
            </w:r>
          </w:p>
        </w:tc>
      </w:tr>
      <w:tr w14:paraId="0C25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1"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FEC6F37">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25</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858FC9">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特殊探头：超高频超声在浅表疾病的临床价值研究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FFFC5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针对浅表疾病常规超声分辨率不足、难以实现精准诊断与治疗评价的临床难点，本研究采用超高频超声实现组织细微结构的可视化，系统探索其在浅表疾病早期精准诊断、辅助治疗决策、术中监测或预后评估中的临床应用价值，为浅表疾病的诊疗管理提供新的影像学策略。</w:t>
            </w:r>
          </w:p>
        </w:tc>
      </w:tr>
      <w:tr w14:paraId="10F5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7A844594">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26</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E34635">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特殊探头：360°探头在盆腔疾病的应用探索研究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066B0">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利用360°探头全景成像优势，聚焦泌尿生殖、直肠及肛周等盆腔疾病，联合弹性/粘弹性成像、微血流定量及超声造影/显微造影技术，系统评估360°探头在盆腔疾病诊断、治疗决策及动态监测中的应用价值，旨在为盆腔疾病临床诊疗管理提供新型影像学策略。</w:t>
            </w:r>
          </w:p>
        </w:tc>
      </w:tr>
      <w:tr w14:paraId="25011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76B995B">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27</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CC97E">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妇科超声：超声新技术在妇科疾病的应用探索</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AEDCA">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本研究聚焦超声新技术在妇科领域疾病中的应用探索，采用超声成像新技术，结合临床多维度功能检测指标，系统探索其在疾病早期诊断、分型分期、治疗决策、疗效监测或康复评估等全诊疗流程中的临床应用价值，为妇科疾病精准化、规范化诊疗提供影像学技术支撑。</w:t>
            </w:r>
          </w:p>
        </w:tc>
      </w:tr>
      <w:tr w14:paraId="18DBE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9"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0CEDB7EE">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28</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475D73">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心血管超声：超声新技术在心血管疾病的探索研究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D9C3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本研究聚焦超声新技术在心血管疾病中的应用探索，采用超声成像新技术，结合临床多维度功能检测指标，探索新技术在疾病早期筛查、风险分层、治疗效果监测或远期预后评估中的临床价值，为心血管疾病精准诊疗提供客观影像学依据。</w:t>
            </w:r>
          </w:p>
        </w:tc>
      </w:tr>
      <w:tr w14:paraId="53B9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4"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BD3EAF2">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29</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E935EF">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hint="eastAsia" w:eastAsiaTheme="minorEastAsia"/>
                <w:color w:val="auto"/>
                <w:sz w:val="24"/>
                <w:szCs w:val="24"/>
                <w:highlight w:val="none"/>
              </w:rPr>
              <w:t>生物医学工程：</w:t>
            </w:r>
            <w:r>
              <w:rPr>
                <w:rFonts w:eastAsiaTheme="minorEastAsia"/>
                <w:color w:val="auto"/>
                <w:sz w:val="24"/>
                <w:szCs w:val="24"/>
                <w:highlight w:val="none"/>
              </w:rPr>
              <w:t>基于国产全域荧光腔镜系统多种荧光显影技术的应用研究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6DA81">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针对国产全域荧光腔镜系统可兼容多谱段荧光显影的技术特点，本研究旨在通过探索术中多种荧光显影技术包括ICG/FLS/MB等对淋巴示踪、血供评估、肿瘤边界识别及胆管显影等定性或定量分析，建立不同术式（胃肠、肝胆、胸外</w:t>
            </w:r>
            <w:r>
              <w:rPr>
                <w:rFonts w:hint="eastAsia" w:eastAsiaTheme="minorEastAsia"/>
                <w:color w:val="auto"/>
                <w:sz w:val="24"/>
                <w:szCs w:val="24"/>
                <w:highlight w:val="none"/>
              </w:rPr>
              <w:t>、妇科</w:t>
            </w:r>
            <w:r>
              <w:rPr>
                <w:rFonts w:eastAsiaTheme="minorEastAsia"/>
                <w:color w:val="auto"/>
                <w:sz w:val="24"/>
                <w:szCs w:val="24"/>
                <w:highlight w:val="none"/>
              </w:rPr>
              <w:t>等</w:t>
            </w:r>
            <w:r>
              <w:rPr>
                <w:rFonts w:hint="eastAsia" w:eastAsiaTheme="minorEastAsia"/>
                <w:color w:val="auto"/>
                <w:sz w:val="24"/>
                <w:szCs w:val="24"/>
                <w:highlight w:val="none"/>
              </w:rPr>
              <w:t>外科</w:t>
            </w:r>
            <w:r>
              <w:rPr>
                <w:rFonts w:eastAsiaTheme="minorEastAsia"/>
                <w:color w:val="auto"/>
                <w:sz w:val="24"/>
                <w:szCs w:val="24"/>
                <w:highlight w:val="none"/>
              </w:rPr>
              <w:t>）的荧光显影标准化方案及术中操作路径，系统评价国产设备在多荧光联合应用中的准确性、安全性及临床效能，推动国产荧光腔镜从单一示踪向全域多任务智能化显影升级。</w:t>
            </w:r>
          </w:p>
        </w:tc>
      </w:tr>
      <w:tr w14:paraId="6AA7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0AD95E64">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30</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06E77C">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hint="eastAsia" w:eastAsiaTheme="minorEastAsia"/>
                <w:color w:val="auto"/>
                <w:sz w:val="24"/>
                <w:szCs w:val="24"/>
                <w:highlight w:val="none"/>
              </w:rPr>
              <w:t>生物医学工程：</w:t>
            </w:r>
            <w:r>
              <w:rPr>
                <w:rFonts w:eastAsiaTheme="minorEastAsia"/>
                <w:color w:val="auto"/>
                <w:sz w:val="24"/>
                <w:szCs w:val="24"/>
                <w:highlight w:val="none"/>
              </w:rPr>
              <w:t>面向微创手术场景的国产腔镜系统智能随动导航技术研究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EB72FD">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研究针对微创手术中，腔镜视野的组织、器官及关键解剖结构识别调整依赖临床经验或反复观看术前影像数据进行比对等临床痛点，通过智能识别算法和随动导航融合技术，实现微创手术术野中三维重建图像对腔镜术中病灶及高危解剖结构视野自适应保持研究，并通过术中视频流实时分析与智能提示，提升术者对重要结构的感知能力与操作安全性，推动国产腔镜系统从</w:t>
            </w:r>
            <w:r>
              <w:rPr>
                <w:rFonts w:hint="eastAsia" w:eastAsiaTheme="minorEastAsia"/>
                <w:color w:val="auto"/>
                <w:sz w:val="24"/>
                <w:szCs w:val="24"/>
                <w:highlight w:val="none"/>
                <w:lang w:eastAsia="zh-CN"/>
              </w:rPr>
              <w:t>“</w:t>
            </w:r>
            <w:r>
              <w:rPr>
                <w:rFonts w:eastAsiaTheme="minorEastAsia"/>
                <w:color w:val="auto"/>
                <w:sz w:val="24"/>
                <w:szCs w:val="24"/>
                <w:highlight w:val="none"/>
              </w:rPr>
              <w:t>可视</w:t>
            </w:r>
            <w:r>
              <w:rPr>
                <w:rFonts w:hint="eastAsia" w:eastAsiaTheme="minorEastAsia"/>
                <w:color w:val="auto"/>
                <w:sz w:val="24"/>
                <w:szCs w:val="24"/>
                <w:highlight w:val="none"/>
                <w:lang w:eastAsia="zh-CN"/>
              </w:rPr>
              <w:t>”</w:t>
            </w:r>
            <w:r>
              <w:rPr>
                <w:rFonts w:eastAsiaTheme="minorEastAsia"/>
                <w:color w:val="auto"/>
                <w:sz w:val="24"/>
                <w:szCs w:val="24"/>
                <w:highlight w:val="none"/>
              </w:rPr>
              <w:t>向</w:t>
            </w:r>
            <w:r>
              <w:rPr>
                <w:rFonts w:hint="eastAsia" w:eastAsiaTheme="minorEastAsia"/>
                <w:color w:val="auto"/>
                <w:sz w:val="24"/>
                <w:szCs w:val="24"/>
                <w:highlight w:val="none"/>
                <w:lang w:eastAsia="zh-CN"/>
              </w:rPr>
              <w:t>“</w:t>
            </w:r>
            <w:r>
              <w:rPr>
                <w:rFonts w:eastAsiaTheme="minorEastAsia"/>
                <w:color w:val="auto"/>
                <w:sz w:val="24"/>
                <w:szCs w:val="24"/>
                <w:highlight w:val="none"/>
              </w:rPr>
              <w:t>智能辅助</w:t>
            </w:r>
            <w:r>
              <w:rPr>
                <w:rFonts w:hint="eastAsia" w:eastAsiaTheme="minorEastAsia"/>
                <w:color w:val="auto"/>
                <w:sz w:val="24"/>
                <w:szCs w:val="24"/>
                <w:highlight w:val="none"/>
                <w:lang w:eastAsia="zh-CN"/>
              </w:rPr>
              <w:t>”</w:t>
            </w:r>
            <w:r>
              <w:rPr>
                <w:rFonts w:eastAsiaTheme="minorEastAsia"/>
                <w:color w:val="auto"/>
                <w:sz w:val="24"/>
                <w:szCs w:val="24"/>
                <w:highlight w:val="none"/>
              </w:rPr>
              <w:t>升级，并开展临床验证与效能评价。</w:t>
            </w:r>
          </w:p>
        </w:tc>
      </w:tr>
      <w:tr w14:paraId="3D5C6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87C487A">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31</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F548F6">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hint="eastAsia" w:eastAsiaTheme="minorEastAsia"/>
                <w:color w:val="auto"/>
                <w:sz w:val="24"/>
                <w:szCs w:val="24"/>
                <w:highlight w:val="none"/>
              </w:rPr>
              <w:t>生物医学工程：</w:t>
            </w:r>
            <w:r>
              <w:rPr>
                <w:rFonts w:eastAsiaTheme="minorEastAsia"/>
                <w:color w:val="auto"/>
                <w:sz w:val="24"/>
                <w:szCs w:val="24"/>
                <w:highlight w:val="none"/>
              </w:rPr>
              <w:t>国产腔镜系统多模态信息融合技术在手术中的应用研究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FCDAA2">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针对微创术中单一白光图像信息有限、解剖结构辨识困难等问题，本研究依托多模态手术大数据与智能算法，围绕典型术式开展多维度信息融合研究，验证其在重要组织辨识、危险预警、手术安全性等临床价值，提升国产腔镜系统对复杂场景的适应能力，为术者提供更丰富的决策支持</w:t>
            </w:r>
          </w:p>
        </w:tc>
      </w:tr>
      <w:tr w14:paraId="7AFE8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649B35B7">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32</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B2089">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生物医学工程：国产电动直线型切割闭合器在消化系统手术中的应用</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82CE4">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围绕消化系统手术术后吻合口瘘、吻合口出血和吻合口狭窄等临床问题，开展国产电动直线切割闭合器的适配应用方案，创新研发适配组织自适应钉高调节装置与厚度反馈智能调速系统，形成国产电动直线切割闭合器在消化道系统手术的临床适配方案，同时通过术中器械激发数据与组织情况等临床数据收集分析，优化主动激发参数和算法，推动国产电动直线切割闭合器等更多医疗器械发展。</w:t>
            </w:r>
          </w:p>
        </w:tc>
      </w:tr>
      <w:tr w14:paraId="6DA28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AA406C0">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33</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01176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生物医学工程：</w:t>
            </w:r>
            <w:r>
              <w:rPr>
                <w:rFonts w:eastAsiaTheme="minorEastAsia"/>
                <w:color w:val="auto"/>
                <w:sz w:val="24"/>
                <w:szCs w:val="24"/>
                <w:highlight w:val="none"/>
              </w:rPr>
              <w:t>腹腔镜子宫骶骨固定术中预防骶前神经损伤的方案研究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89A75">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eastAsiaTheme="minorEastAsia"/>
                <w:color w:val="auto"/>
                <w:sz w:val="24"/>
                <w:szCs w:val="24"/>
                <w:highlight w:val="none"/>
              </w:rPr>
              <w:t>围绕盆腔器官脱垂腹腔镜子宫骶骨固定术，聚焦术中能量器械致骶前神经热损伤、术后高发便秘等临床痛点。探索国产智能能量器械在该术式中的应用方案，评估其相对于传统能量器械的临床应用优势，建立基于新技术的标准流程与操作规范，以达到降低神经损伤并发症、提升盆底重建手术安全的目的，为国产智能化能量器械临床推广及提升子宫骶骨固定术手术质量提供循证依据。同时可通过术中能量输出参数与术中术后各类临床指标的收集分析，为下一代更智能的能量器械开发提供数据和临床依据，以更好预防神经损伤发生。</w:t>
            </w:r>
          </w:p>
        </w:tc>
      </w:tr>
      <w:tr w14:paraId="044E2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EFC8E0F">
            <w:pPr>
              <w:spacing w:before="156" w:beforeLines="50" w:after="156" w:afterLines="50"/>
              <w:ind w:firstLine="21" w:firstLineChars="9"/>
              <w:jc w:val="center"/>
              <w:rPr>
                <w:rFonts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34</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80D387">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生物医学工程：</w:t>
            </w:r>
            <w:r>
              <w:rPr>
                <w:rFonts w:eastAsiaTheme="minorEastAsia"/>
                <w:color w:val="auto"/>
                <w:sz w:val="24"/>
                <w:szCs w:val="24"/>
                <w:highlight w:val="none"/>
              </w:rPr>
              <w:t>充气式纵隔镜联合腹腔镜食管癌根治术中喉返神经保护方案研究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116E5C">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eastAsiaTheme="minorEastAsia"/>
                <w:color w:val="auto"/>
                <w:sz w:val="24"/>
                <w:szCs w:val="24"/>
                <w:highlight w:val="none"/>
              </w:rPr>
              <w:t>围绕新兴超微创充气式纵隔镜联合腹腔镜食管癌根治技术，针对该术式术野狭小、操作难度大、能量器械烟雾干扰大、喉返神经易损伤等临床痛点，探索国产智能能量器械适配应用方案，评估临床应用效果，建立标准流程与操作规范， 以达到保护喉返神经、降低手术并发症的目的，为国产能量器械临床推广及提升微创食管癌手术质量提供循证依据。</w:t>
            </w:r>
          </w:p>
        </w:tc>
      </w:tr>
      <w:tr w14:paraId="6CDC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5"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3E45D4C8">
            <w:pPr>
              <w:spacing w:before="156" w:beforeLines="50" w:after="156" w:afterLines="50"/>
              <w:ind w:firstLine="21" w:firstLineChars="9"/>
              <w:jc w:val="center"/>
              <w:rPr>
                <w:rFonts w:hint="eastAsia"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rPr>
              <w:t>3</w:t>
            </w:r>
            <w:r>
              <w:rPr>
                <w:rFonts w:hint="eastAsia" w:eastAsiaTheme="minorEastAsia"/>
                <w:color w:val="auto"/>
                <w:sz w:val="24"/>
                <w:szCs w:val="24"/>
                <w:lang w:val="en-US" w:eastAsia="zh-CN"/>
              </w:rPr>
              <w:t>5</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D37510">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生物医学工程：</w:t>
            </w:r>
            <w:r>
              <w:rPr>
                <w:rFonts w:eastAsiaTheme="minorEastAsia"/>
                <w:color w:val="auto"/>
                <w:sz w:val="24"/>
                <w:szCs w:val="24"/>
                <w:highlight w:val="none"/>
              </w:rPr>
              <w:t>国产智能腔镜切割吻合器在胸腔镜肺切除术中的安全性、稳定性评价与智能控制优化研究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4FCD88">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eastAsiaTheme="minorEastAsia"/>
                <w:color w:val="auto"/>
                <w:sz w:val="24"/>
                <w:szCs w:val="24"/>
                <w:highlight w:val="none"/>
              </w:rPr>
              <w:t>围绕腔镜手术中肺楔形切除、肺段切除及肺叶切除等常见胸外科微创手术，针对肺组织厚度不均匀、硬度随病理状态和药物治疗后变化大、质地易脆等特点，以及腔镜切割吻合器在闭合和击发过程中可能出现的组织滑移、压缩不均、局部压榨过度以及成钉高度不一致等问题，探索国产智能腔镜吻合器在胸外科肺组织处理中的安全应用与稳定性优化方案。最终建立腔镜环境下肺切除术中国产智能腔镜切割吻合器的标准化使用流程和安全评价体系。</w:t>
            </w:r>
          </w:p>
        </w:tc>
      </w:tr>
      <w:tr w14:paraId="40CD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2"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2EAED03">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lang w:val="en-US" w:eastAsia="zh-CN"/>
              </w:rPr>
              <w:t>36</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E17ECE">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生物医学工程：</w:t>
            </w:r>
            <w:r>
              <w:rPr>
                <w:rFonts w:eastAsiaTheme="minorEastAsia"/>
                <w:color w:val="auto"/>
                <w:sz w:val="24"/>
                <w:szCs w:val="24"/>
                <w:highlight w:val="none"/>
              </w:rPr>
              <w:t>单孔肺段切除术中电动血管吻合器应用研究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598AD7">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eastAsiaTheme="minorEastAsia"/>
                <w:color w:val="auto"/>
                <w:sz w:val="24"/>
                <w:szCs w:val="24"/>
                <w:highlight w:val="none"/>
              </w:rPr>
              <w:t>围绕单孔胸腔镜肺段切除术，针对角度不佳、位置深匿的复杂肺段血管在一次性离断成功率的临床痛点，探索国产电动血管专用吻合器在单孔胸腔镜肺段切除术中的应用体系，初步建立并验证电动血管专用吻合器在单孔胸腔镜肺段切除术中的应用体系，为首个针对国产电动血管吻合器在单孔肺段手术中的应用规范提供循证医学支持，加速其临床转化与进口替代进程，为行业标准制定奠定基础。</w:t>
            </w:r>
          </w:p>
        </w:tc>
      </w:tr>
      <w:tr w14:paraId="0409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1"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DEDB329">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lang w:val="en-US" w:eastAsia="zh-CN"/>
              </w:rPr>
              <w:t>37</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FEE344">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hint="eastAsia" w:eastAsiaTheme="minorEastAsia"/>
                <w:color w:val="auto"/>
                <w:sz w:val="24"/>
                <w:szCs w:val="24"/>
                <w:highlight w:val="none"/>
              </w:rPr>
              <w:t>急危重症管理：</w:t>
            </w:r>
            <w:r>
              <w:rPr>
                <w:rFonts w:eastAsiaTheme="minorEastAsia"/>
                <w:color w:val="auto"/>
                <w:sz w:val="24"/>
                <w:szCs w:val="24"/>
                <w:highlight w:val="none"/>
              </w:rPr>
              <w:t>多模态脏器功能监测与微循环灌注导向的急危重症脏器保护策略优化与临床转化研究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618A75">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聚焦多模态脏器功能监测（脑电、超声、组织氧及微循环灌注等）技术在急危重症救治中的临床价值，旨在建立心肺复苏后综合征、脓毒症休克等核心场景的脏器功能评估与早期预警体系。通过整合床旁可视化评估、多模态监测数据与智能分析算法，构建从宏观血流动力学到微循环灌注再到脏器功能状态的级联评估路径，发展精准化、个体化的脏器保护与微循环靶向干预策略，为改善急危重症患者脏器功能预后提供循证医学依据，推动脏器功能监测与微循环评估技术从监测工具向治疗决策支持系统的临床转化。</w:t>
            </w:r>
          </w:p>
        </w:tc>
      </w:tr>
      <w:tr w14:paraId="0CC8F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7E771AFF">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lang w:val="en-US" w:eastAsia="zh-CN"/>
              </w:rPr>
              <w:t>38</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53A372">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hint="eastAsia" w:eastAsiaTheme="minorEastAsia"/>
                <w:color w:val="auto"/>
                <w:sz w:val="24"/>
                <w:szCs w:val="24"/>
                <w:highlight w:val="none"/>
              </w:rPr>
              <w:t>急危重症管理：</w:t>
            </w:r>
            <w:r>
              <w:rPr>
                <w:rFonts w:eastAsiaTheme="minorEastAsia"/>
                <w:color w:val="auto"/>
                <w:sz w:val="24"/>
                <w:szCs w:val="24"/>
                <w:highlight w:val="none"/>
              </w:rPr>
              <w:t>呼吸力学监测驱动的精准肺保护策略在急危重症救治中的临床应用与转化研究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B21B2A">
            <w:pPr>
              <w:keepNext w:val="0"/>
              <w:keepLines w:val="0"/>
              <w:pageBreakBefore w:val="0"/>
              <w:widowControl/>
              <w:kinsoku/>
              <w:wordWrap/>
              <w:overflowPunct/>
              <w:topLinePunct w:val="0"/>
              <w:autoSpaceDE/>
              <w:autoSpaceDN/>
              <w:bidi w:val="0"/>
              <w:adjustRightInd/>
              <w:snapToGrid/>
              <w:spacing w:before="120" w:after="120" w:line="240" w:lineRule="auto"/>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围绕呼吸力学监测技术在急危重症领域的应用价值，系统研究如新生儿呼吸窘迫综合征、急性呼吸窘迫综合征（ARDS）及慢性阻塞性肺疾病急性加重期等核心场景的肺保护通气策略。通过建立基于实时呼吸力学数据的闭环反馈调节体系，探索不同年龄人群肺保护性通气的精准化方案，为降低呼吸机相关肺损伤、改善危重患者预后提供循证支撑，推动呼吸力学监测从参数监测向精准治疗决策的临床转化。</w:t>
            </w:r>
          </w:p>
        </w:tc>
      </w:tr>
      <w:tr w14:paraId="0D70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3BC5B18">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eastAsiaTheme="minorEastAsia"/>
                <w:color w:val="auto"/>
                <w:sz w:val="24"/>
                <w:szCs w:val="24"/>
              </w:rPr>
              <w:t>A</w:t>
            </w:r>
            <w:r>
              <w:rPr>
                <w:rFonts w:hint="eastAsia" w:eastAsiaTheme="minorEastAsia"/>
                <w:color w:val="auto"/>
                <w:sz w:val="24"/>
                <w:szCs w:val="24"/>
                <w:lang w:val="en-US" w:eastAsia="zh-CN"/>
              </w:rPr>
              <w:t>39</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F64DC">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hint="eastAsia" w:eastAsiaTheme="minorEastAsia"/>
                <w:color w:val="auto"/>
                <w:sz w:val="24"/>
                <w:szCs w:val="24"/>
                <w:highlight w:val="none"/>
              </w:rPr>
              <w:t>急危重症管理：</w:t>
            </w:r>
            <w:r>
              <w:rPr>
                <w:rFonts w:eastAsiaTheme="minorEastAsia"/>
                <w:color w:val="auto"/>
                <w:sz w:val="24"/>
                <w:szCs w:val="24"/>
                <w:highlight w:val="none"/>
              </w:rPr>
              <w:t>重症患者康复监测技术探索与多技术融合干预策略的临床转化研究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D2E27">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本方向聚焦重症康复监测新技术开发与临床转化，包括：能量代谢监测、体温监测与管理、呼吸肌力评估、早期活动</w:t>
            </w:r>
            <w:r>
              <w:rPr>
                <w:rFonts w:hint="eastAsia" w:eastAsiaTheme="minorEastAsia"/>
                <w:color w:val="auto"/>
                <w:sz w:val="24"/>
                <w:szCs w:val="24"/>
                <w:highlight w:val="none"/>
              </w:rPr>
              <w:t>安全性评价</w:t>
            </w:r>
            <w:r>
              <w:rPr>
                <w:rFonts w:eastAsiaTheme="minorEastAsia"/>
                <w:color w:val="auto"/>
                <w:sz w:val="24"/>
                <w:szCs w:val="24"/>
                <w:highlight w:val="none"/>
              </w:rPr>
              <w:t>等。鼓励开展单一技术的深入机制探索，亦支持多技术融合研究。鼓励融合民族医学康复理论与技术。以重症监护病房获得性肌无力、ICU谵妄、呼吸机脱机困难等为核心场景，建立多模态监测与康复处方动态管理体系，探索个体化、精准化的重症康复策略，为改善危重患者功能预后、缩短ICU住院时间提供循证依据。</w:t>
            </w:r>
          </w:p>
        </w:tc>
      </w:tr>
      <w:tr w14:paraId="00ED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D137DBC">
            <w:pPr>
              <w:spacing w:before="156" w:beforeLines="50" w:after="156" w:afterLines="50"/>
              <w:ind w:firstLine="21" w:firstLineChars="9"/>
              <w:jc w:val="center"/>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eastAsiaTheme="minorEastAsia"/>
                <w:color w:val="auto"/>
                <w:sz w:val="24"/>
                <w:szCs w:val="24"/>
              </w:rPr>
              <w:t>4</w:t>
            </w:r>
            <w:r>
              <w:rPr>
                <w:rFonts w:hint="eastAsia" w:eastAsiaTheme="minorEastAsia"/>
                <w:color w:val="auto"/>
                <w:sz w:val="24"/>
                <w:szCs w:val="24"/>
                <w:lang w:val="en-US" w:eastAsia="zh-CN"/>
              </w:rPr>
              <w:t>0</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CB671E">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围术期</w:t>
            </w:r>
            <w:r>
              <w:rPr>
                <w:rFonts w:hint="eastAsia" w:eastAsiaTheme="minorEastAsia"/>
                <w:color w:val="auto"/>
                <w:sz w:val="24"/>
                <w:szCs w:val="24"/>
                <w:highlight w:val="none"/>
              </w:rPr>
              <w:t>管理：</w:t>
            </w:r>
            <w:r>
              <w:rPr>
                <w:rFonts w:eastAsiaTheme="minorEastAsia"/>
                <w:color w:val="auto"/>
                <w:sz w:val="24"/>
                <w:szCs w:val="24"/>
                <w:highlight w:val="none"/>
              </w:rPr>
              <w:t>精准麻醉深度评估与个体化镇静镇痛调控策略</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3FD13A">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p>
          <w:p w14:paraId="404A640E">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围绕围术期麻醉深度与镇痛管理的规范化应用，明确诱导期、维持期及苏醒期的麻醉深度评估与用药调控策略。比较脑功能监测ESI、eMAC等技术的临床应用价值，重点评估其在减少追加用药、维持血流动力学稳定及优化苏醒质量中的作用。同时结合老年患者、日间手术等重点人群，探索差异化镇静镇痛管理路径，推动麻醉深度由单纯监测向精准调控转变。</w:t>
            </w:r>
          </w:p>
        </w:tc>
      </w:tr>
      <w:tr w14:paraId="2350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7C71ACB">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41</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5B956C">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围术期</w:t>
            </w:r>
            <w:r>
              <w:rPr>
                <w:rFonts w:hint="eastAsia" w:eastAsiaTheme="minorEastAsia"/>
                <w:color w:val="auto"/>
                <w:sz w:val="24"/>
                <w:szCs w:val="24"/>
                <w:highlight w:val="none"/>
              </w:rPr>
              <w:t>管理：</w:t>
            </w:r>
            <w:r>
              <w:rPr>
                <w:rFonts w:eastAsiaTheme="minorEastAsia"/>
                <w:color w:val="auto"/>
                <w:sz w:val="24"/>
                <w:szCs w:val="24"/>
                <w:highlight w:val="none"/>
              </w:rPr>
              <w:t>多模式呼吸支持与肺保护通气优化管理策略</w:t>
            </w:r>
          </w:p>
          <w:p w14:paraId="00800DA4">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980DA7">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本方向聚焦围术期呼吸管理关键环节，系统规范 HFNC、HFJV 及机械通气技术在诱导期、术中维持及拔管期的应用策略。重点分析不同呼吸支持模式对低氧事件、再插管风险及肺损伤的影响，结合机械能等关键指标，提出肺保护通气优化方案。针对高风险患者及特殊手术场景，形成差异化呼吸管理路径，推动呼吸管理由氧合保障向综合肺保护与风险预防转变。</w:t>
            </w:r>
          </w:p>
        </w:tc>
      </w:tr>
      <w:tr w14:paraId="79A3C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67950C85">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42</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0E44D3">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围术期</w:t>
            </w:r>
            <w:r>
              <w:rPr>
                <w:rFonts w:hint="eastAsia" w:eastAsiaTheme="minorEastAsia"/>
                <w:color w:val="auto"/>
                <w:sz w:val="24"/>
                <w:szCs w:val="24"/>
                <w:highlight w:val="none"/>
              </w:rPr>
              <w:t>管理：</w:t>
            </w:r>
            <w:r>
              <w:rPr>
                <w:rFonts w:eastAsiaTheme="minorEastAsia"/>
                <w:color w:val="auto"/>
                <w:sz w:val="24"/>
                <w:szCs w:val="24"/>
                <w:highlight w:val="none"/>
              </w:rPr>
              <w:t>组织灌注评估与脑氧安全协同管理策略</w:t>
            </w:r>
          </w:p>
          <w:p w14:paraId="2A732BD2">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4D09D">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围绕围术期组织灌注与脑氧监测的临床应用，规范rSO₂等关键指标在不同手术类型中的应用策略。通过分析脑氧变化与低灌注事件、术后谵妄及延迟苏醒之间的关系，评估其在围术期风险识别与干预决策中的价值。同时结合血流动力学参数，构建灌注与循环协同管理模式，推动脑氧监测由数值观察向干预指导转化，提升围术期神经系统安全管理水平。</w:t>
            </w:r>
          </w:p>
        </w:tc>
      </w:tr>
      <w:tr w14:paraId="053A6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B5AB83D">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43</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5AC153">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围术期</w:t>
            </w:r>
            <w:r>
              <w:rPr>
                <w:rFonts w:hint="eastAsia" w:eastAsiaTheme="minorEastAsia"/>
                <w:color w:val="auto"/>
                <w:sz w:val="24"/>
                <w:szCs w:val="24"/>
                <w:highlight w:val="none"/>
              </w:rPr>
              <w:t>管理：</w:t>
            </w:r>
            <w:r>
              <w:rPr>
                <w:rFonts w:eastAsiaTheme="minorEastAsia"/>
                <w:color w:val="auto"/>
                <w:sz w:val="24"/>
                <w:szCs w:val="24"/>
                <w:highlight w:val="none"/>
              </w:rPr>
              <w:t>多参数信息融合驱动的风险识别与预警决策体系</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B7335D">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聚焦脑功能、呼吸及循环等多维监测参数的整合应用，构建围术期风险综合评估体系。重点分析低氧、低血压及苏醒延迟等高风险事件的多参数变化特征，探索不同经验层级医生在复杂信息环境下的决策差异。明确参数冲突时的优先级处理策略，建立标准化判断路径，推动监测体系由信息叠加向辅助决策转变，提高围术期管理的稳定性与一致性。</w:t>
            </w:r>
          </w:p>
        </w:tc>
      </w:tr>
      <w:tr w14:paraId="19699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2CDD08A4">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44</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14B27">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hint="eastAsia" w:eastAsiaTheme="minorEastAsia"/>
                <w:color w:val="auto"/>
                <w:sz w:val="24"/>
                <w:szCs w:val="24"/>
                <w:highlight w:val="none"/>
              </w:rPr>
              <w:t>围术期管理：</w:t>
            </w:r>
            <w:r>
              <w:rPr>
                <w:rFonts w:eastAsiaTheme="minorEastAsia"/>
                <w:color w:val="auto"/>
                <w:sz w:val="24"/>
                <w:szCs w:val="24"/>
                <w:highlight w:val="none"/>
              </w:rPr>
              <w:t>快速康复导向的围术期麻醉全流程协同管理路径优化策略</w:t>
            </w:r>
          </w:p>
          <w:p w14:paraId="64CCED42">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B6F1DE">
            <w:pPr>
              <w:keepNext w:val="0"/>
              <w:keepLines w:val="0"/>
              <w:pageBreakBefore w:val="0"/>
              <w:widowControl/>
              <w:kinsoku/>
              <w:wordWrap/>
              <w:overflowPunct/>
              <w:topLinePunct w:val="0"/>
              <w:autoSpaceDE/>
              <w:autoSpaceDN/>
              <w:bidi w:val="0"/>
              <w:adjustRightInd/>
              <w:snapToGrid/>
              <w:ind w:firstLine="480" w:firstLineChars="200"/>
              <w:textAlignment w:val="auto"/>
              <w:rPr>
                <w:rFonts w:eastAsiaTheme="minorEastAsia"/>
                <w:color w:val="auto"/>
                <w:sz w:val="24"/>
                <w:szCs w:val="24"/>
                <w:highlight w:val="none"/>
              </w:rPr>
            </w:pPr>
            <w:r>
              <w:rPr>
                <w:rFonts w:eastAsiaTheme="minorEastAsia"/>
                <w:color w:val="auto"/>
                <w:sz w:val="24"/>
                <w:szCs w:val="24"/>
                <w:highlight w:val="none"/>
              </w:rPr>
              <w:t>本方向围绕快速康复外科（ERAS）理念，系统整合如穿戴设备、瑞智联等麻醉管理在围术期全流程中的关键作用。重点评估不同麻醉策略对苏醒时间、术后并发症及住院周期的影响，明确日间手术与快通道管理中的优化路径。通过强化麻醉、护理及重症医学的协同机制，构建标准化围术期管理模式，推动麻醉管理由单点优化向整体路径优化转变，提高医疗效率与患者结局。</w:t>
            </w:r>
          </w:p>
        </w:tc>
      </w:tr>
      <w:tr w14:paraId="4A03E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6CA272EC">
            <w:pPr>
              <w:spacing w:before="156" w:beforeLines="50" w:after="156" w:afterLines="50"/>
              <w:ind w:firstLine="21" w:firstLineChars="9"/>
              <w:jc w:val="center"/>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45</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FC517">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骨科创新材料与技术：腰椎双向可调式融合器在内镜术式下的临床应用研究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D8D8D9">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本研究采用腰椎双向（角度撑开+高度撑开）可调式融合器，定量表征内镜术式下的椎间融合稳定性与力学适配性，系统探究该技术在腰椎退行性疾病精准治疗、术后融合状态评估及并发症预防中的临床价值，为微创脊柱外科提供基于动态可调式融合器的新方法。</w:t>
            </w:r>
          </w:p>
        </w:tc>
      </w:tr>
      <w:tr w14:paraId="3B624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1C2257A">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46</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2471D1">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骨科创新材料与技术：基于力学生物学模型技术的新型人工椎体的临床应用研究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2F371D">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本研究采用力学生物学模型技术的新型人工椎体，深入解析其力学传导与骨整合特性，系统评估该技术在脊柱重建、椎间融合及并发症预防中的临床价值，为脊柱外科提供基于力学生物学建模的个性化重建新技术。</w:t>
            </w:r>
          </w:p>
        </w:tc>
      </w:tr>
      <w:tr w14:paraId="7431B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44FFB92B">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47</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F92F8">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骨科创新材料与技术：基于国人解剖数据的单髁膝关节系统的临床应用研究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660098">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ascii="Times New Roman" w:hAnsi="Times New Roman" w:cs="Times New Roman" w:eastAsiaTheme="minorEastAsia"/>
                <w:iCs/>
                <w:color w:val="auto"/>
                <w:sz w:val="24"/>
                <w:szCs w:val="24"/>
                <w:highlight w:val="none"/>
                <w:lang w:val="en-US" w:eastAsia="zh-CN" w:bidi="ar-SA"/>
              </w:rPr>
            </w:pPr>
            <w:r>
              <w:rPr>
                <w:rFonts w:hint="eastAsia" w:eastAsiaTheme="minorEastAsia"/>
                <w:color w:val="auto"/>
                <w:sz w:val="24"/>
                <w:szCs w:val="24"/>
                <w:highlight w:val="none"/>
              </w:rPr>
              <w:t>本研究采用基于国人解剖数据的单髁膝关节系统，深入评估其与国人膝关节的解剖匹配度及植入适配效果，系统验证该技术在单髁置换术中的临床疗效与假体稳定性，为国人膝关节置换提供基于本土解剖数据的精准化治疗新策略。</w:t>
            </w:r>
          </w:p>
        </w:tc>
      </w:tr>
      <w:tr w14:paraId="7CB0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319A4FFD">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48</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B7541">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数智化管理：</w:t>
            </w:r>
            <w:r>
              <w:rPr>
                <w:rFonts w:eastAsiaTheme="minorEastAsia"/>
                <w:color w:val="auto"/>
                <w:sz w:val="24"/>
                <w:szCs w:val="24"/>
              </w:rPr>
              <w:t>基于</w:t>
            </w:r>
            <w:r>
              <w:rPr>
                <w:rFonts w:hint="eastAsia" w:eastAsiaTheme="minorEastAsia"/>
                <w:color w:val="auto"/>
                <w:sz w:val="24"/>
                <w:szCs w:val="24"/>
              </w:rPr>
              <w:t>启元大模型</w:t>
            </w:r>
            <w:r>
              <w:rPr>
                <w:rFonts w:eastAsiaTheme="minorEastAsia"/>
                <w:color w:val="auto"/>
                <w:sz w:val="24"/>
                <w:szCs w:val="24"/>
              </w:rPr>
              <w:t>的急救</w:t>
            </w:r>
            <w:r>
              <w:rPr>
                <w:rFonts w:hint="eastAsia" w:eastAsiaTheme="minorEastAsia"/>
                <w:color w:val="auto"/>
                <w:sz w:val="24"/>
                <w:szCs w:val="24"/>
              </w:rPr>
              <w:t>及</w:t>
            </w:r>
            <w:r>
              <w:rPr>
                <w:rFonts w:eastAsiaTheme="minorEastAsia"/>
                <w:color w:val="auto"/>
                <w:sz w:val="24"/>
                <w:szCs w:val="24"/>
              </w:rPr>
              <w:t>生命支持</w:t>
            </w:r>
            <w:r>
              <w:rPr>
                <w:rFonts w:hint="eastAsia" w:eastAsiaTheme="minorEastAsia"/>
                <w:color w:val="auto"/>
                <w:sz w:val="24"/>
                <w:szCs w:val="24"/>
              </w:rPr>
              <w:t>类</w:t>
            </w:r>
            <w:r>
              <w:rPr>
                <w:rFonts w:eastAsiaTheme="minorEastAsia"/>
                <w:color w:val="auto"/>
                <w:sz w:val="24"/>
                <w:szCs w:val="24"/>
              </w:rPr>
              <w:t>设备</w:t>
            </w:r>
            <w:r>
              <w:rPr>
                <w:rFonts w:hint="eastAsia" w:eastAsiaTheme="minorEastAsia"/>
                <w:color w:val="auto"/>
                <w:sz w:val="24"/>
                <w:szCs w:val="24"/>
              </w:rPr>
              <w:t>预防性</w:t>
            </w:r>
            <w:r>
              <w:rPr>
                <w:rFonts w:eastAsiaTheme="minorEastAsia"/>
                <w:color w:val="auto"/>
                <w:sz w:val="24"/>
                <w:szCs w:val="24"/>
              </w:rPr>
              <w:t>维护与智能维修决策支持研究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DF80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eastAsiaTheme="minorEastAsia"/>
                <w:color w:val="auto"/>
                <w:sz w:val="24"/>
                <w:szCs w:val="24"/>
              </w:rPr>
              <w:t>针对急救生命支持设备非计划停机影响患者安全的问题，</w:t>
            </w:r>
            <w:r>
              <w:rPr>
                <w:rFonts w:hint="eastAsia" w:eastAsiaTheme="minorEastAsia"/>
                <w:color w:val="auto"/>
                <w:sz w:val="24"/>
                <w:szCs w:val="24"/>
              </w:rPr>
              <w:t>整合急救生命支持设备</w:t>
            </w:r>
            <w:r>
              <w:rPr>
                <w:rFonts w:eastAsiaTheme="minorEastAsia"/>
                <w:color w:val="auto"/>
                <w:sz w:val="24"/>
                <w:szCs w:val="24"/>
              </w:rPr>
              <w:t>等</w:t>
            </w:r>
            <w:r>
              <w:rPr>
                <w:rFonts w:hint="eastAsia" w:eastAsiaTheme="minorEastAsia"/>
                <w:color w:val="auto"/>
                <w:sz w:val="24"/>
                <w:szCs w:val="24"/>
              </w:rPr>
              <w:t>相关</w:t>
            </w:r>
            <w:r>
              <w:rPr>
                <w:rFonts w:eastAsiaTheme="minorEastAsia"/>
                <w:color w:val="auto"/>
                <w:sz w:val="24"/>
                <w:szCs w:val="24"/>
              </w:rPr>
              <w:t>运行数据，构建设备性能衰退曲线与剩余有效寿命预测模型，建立“性能趋势监测—智能预警触发—维修</w:t>
            </w:r>
            <w:r>
              <w:rPr>
                <w:rFonts w:hint="eastAsia" w:eastAsiaTheme="minorEastAsia"/>
                <w:color w:val="auto"/>
                <w:sz w:val="24"/>
                <w:szCs w:val="24"/>
              </w:rPr>
              <w:t>及维护</w:t>
            </w:r>
            <w:r>
              <w:rPr>
                <w:rFonts w:eastAsiaTheme="minorEastAsia"/>
                <w:color w:val="auto"/>
                <w:sz w:val="24"/>
                <w:szCs w:val="24"/>
              </w:rPr>
              <w:t>知识推送”三级维护决策支持</w:t>
            </w:r>
            <w:r>
              <w:rPr>
                <w:rFonts w:hint="eastAsia" w:eastAsiaTheme="minorEastAsia"/>
                <w:color w:val="auto"/>
                <w:sz w:val="24"/>
                <w:szCs w:val="24"/>
              </w:rPr>
              <w:t>策略及流程</w:t>
            </w:r>
            <w:r>
              <w:rPr>
                <w:rFonts w:eastAsiaTheme="minorEastAsia"/>
                <w:color w:val="auto"/>
                <w:sz w:val="24"/>
                <w:szCs w:val="24"/>
              </w:rPr>
              <w:t>，并通过启元</w:t>
            </w:r>
            <w:r>
              <w:rPr>
                <w:rFonts w:hint="eastAsia" w:eastAsiaTheme="minorEastAsia"/>
                <w:color w:val="auto"/>
                <w:sz w:val="24"/>
                <w:szCs w:val="24"/>
              </w:rPr>
              <w:t>智慧医工</w:t>
            </w:r>
            <w:r>
              <w:rPr>
                <w:rFonts w:eastAsiaTheme="minorEastAsia"/>
                <w:color w:val="auto"/>
                <w:sz w:val="24"/>
                <w:szCs w:val="24"/>
              </w:rPr>
              <w:t>大模型匹配历史维修案例与维修方案，实现</w:t>
            </w:r>
            <w:r>
              <w:rPr>
                <w:rFonts w:hint="eastAsia" w:eastAsiaTheme="minorEastAsia"/>
                <w:color w:val="auto"/>
                <w:sz w:val="24"/>
                <w:szCs w:val="24"/>
              </w:rPr>
              <w:t>及时调整设备预防性维护策略和计划，</w:t>
            </w:r>
            <w:r>
              <w:rPr>
                <w:rFonts w:eastAsiaTheme="minorEastAsia"/>
                <w:color w:val="auto"/>
                <w:sz w:val="24"/>
                <w:szCs w:val="24"/>
              </w:rPr>
              <w:t>从被动报修向主动预防的设备维护转型。</w:t>
            </w:r>
          </w:p>
        </w:tc>
      </w:tr>
      <w:tr w14:paraId="57FE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1126494C">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49</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6AE12">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数智化管理：</w:t>
            </w:r>
            <w:r>
              <w:rPr>
                <w:rFonts w:eastAsiaTheme="minorEastAsia"/>
                <w:color w:val="auto"/>
                <w:sz w:val="24"/>
                <w:szCs w:val="24"/>
              </w:rPr>
              <w:t>基于</w:t>
            </w:r>
            <w:r>
              <w:rPr>
                <w:rFonts w:hint="eastAsia" w:eastAsiaTheme="minorEastAsia"/>
                <w:color w:val="auto"/>
                <w:sz w:val="24"/>
                <w:szCs w:val="24"/>
              </w:rPr>
              <w:t>数智化管理技术</w:t>
            </w:r>
            <w:r>
              <w:rPr>
                <w:rFonts w:eastAsiaTheme="minorEastAsia"/>
                <w:color w:val="auto"/>
                <w:sz w:val="24"/>
                <w:szCs w:val="24"/>
              </w:rPr>
              <w:t>的医疗设备成本效益分析基线构建与配置标准化策略研究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0AAA0">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eastAsiaTheme="minorEastAsia"/>
                <w:color w:val="auto"/>
                <w:sz w:val="24"/>
                <w:szCs w:val="24"/>
              </w:rPr>
              <w:t>针</w:t>
            </w:r>
            <w:r>
              <w:rPr>
                <w:rFonts w:hint="eastAsia" w:eastAsiaTheme="minorEastAsia"/>
                <w:color w:val="auto"/>
                <w:sz w:val="24"/>
                <w:szCs w:val="24"/>
              </w:rPr>
              <w:t>医疗</w:t>
            </w:r>
            <w:r>
              <w:rPr>
                <w:rFonts w:eastAsiaTheme="minorEastAsia"/>
                <w:color w:val="auto"/>
                <w:sz w:val="24"/>
                <w:szCs w:val="24"/>
              </w:rPr>
              <w:t>设备成本效益评估维度单一、配置缺乏数据依据的问题，依托数智化管理平台采集运行、维修、能耗等数据，</w:t>
            </w:r>
            <w:r>
              <w:rPr>
                <w:rFonts w:hint="eastAsia" w:eastAsiaTheme="minorEastAsia"/>
                <w:color w:val="auto"/>
                <w:sz w:val="24"/>
                <w:szCs w:val="24"/>
              </w:rPr>
              <w:t>并</w:t>
            </w:r>
            <w:r>
              <w:rPr>
                <w:rFonts w:eastAsiaTheme="minorEastAsia"/>
                <w:color w:val="auto"/>
                <w:sz w:val="24"/>
                <w:szCs w:val="24"/>
              </w:rPr>
              <w:t>对接HIS与财务系统构建“单机收入—全成本”匹配模型，计算净现值、内部收益率等效益指标，建立单机效益基线曲线与分级标准；构建“功能使用率—配置成本”矩阵及配置合理性评分模型，输出设备分级标准、优化清单及</w:t>
            </w:r>
            <w:r>
              <w:rPr>
                <w:rFonts w:hint="eastAsia" w:eastAsiaTheme="minorEastAsia"/>
                <w:color w:val="auto"/>
                <w:sz w:val="24"/>
                <w:szCs w:val="24"/>
              </w:rPr>
              <w:t>配置</w:t>
            </w:r>
            <w:r>
              <w:rPr>
                <w:rFonts w:eastAsiaTheme="minorEastAsia"/>
                <w:color w:val="auto"/>
                <w:sz w:val="24"/>
                <w:szCs w:val="24"/>
              </w:rPr>
              <w:t>方案，通过试点验证利用率提升与成本节约效果。</w:t>
            </w:r>
          </w:p>
        </w:tc>
      </w:tr>
      <w:tr w14:paraId="067C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5DFCA8B1">
            <w:pPr>
              <w:spacing w:before="156" w:beforeLines="50" w:after="156" w:afterLines="50"/>
              <w:ind w:firstLine="21" w:firstLineChars="9"/>
              <w:jc w:val="center"/>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50</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E07F38">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数智化管理：医疗设备全生命周期数智化管理健康度指标体系研究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7D56EA">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利用瑞智设备管理信息系统，解决医疗设备全生命周期中的缺乏全院级系统的管理指标体系而导致的对医院运营有很大影响的数据搜集难、管理改善差和未知合规风险多等各种管理难题，并对管理效果进行呈现。</w:t>
            </w:r>
          </w:p>
        </w:tc>
      </w:tr>
      <w:tr w14:paraId="3951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jc w:val="center"/>
        </w:trPr>
        <w:tc>
          <w:tcPr>
            <w:tcW w:w="1149" w:type="dxa"/>
            <w:tcBorders>
              <w:top w:val="single" w:color="auto" w:sz="4" w:space="0"/>
              <w:left w:val="single" w:color="auto" w:sz="4" w:space="0"/>
              <w:bottom w:val="single" w:color="auto" w:sz="4" w:space="0"/>
              <w:right w:val="single" w:color="auto" w:sz="4" w:space="0"/>
            </w:tcBorders>
            <w:shd w:val="clear" w:color="auto" w:fill="auto"/>
            <w:vAlign w:val="center"/>
          </w:tcPr>
          <w:p w14:paraId="6967E2D4">
            <w:pPr>
              <w:spacing w:before="156" w:beforeLines="50" w:after="156" w:afterLines="50"/>
              <w:ind w:firstLine="21" w:firstLineChars="9"/>
              <w:jc w:val="center"/>
              <w:rPr>
                <w:rFonts w:hint="default"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A</w:t>
            </w:r>
            <w:r>
              <w:rPr>
                <w:rFonts w:hint="eastAsia" w:eastAsiaTheme="minorEastAsia"/>
                <w:color w:val="auto"/>
                <w:sz w:val="24"/>
                <w:szCs w:val="24"/>
                <w:lang w:val="en-US" w:eastAsia="zh-CN"/>
              </w:rPr>
              <w:t>51</w:t>
            </w:r>
          </w:p>
        </w:tc>
        <w:tc>
          <w:tcPr>
            <w:tcW w:w="23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75CD9C">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数据中台：基于物联网的医疗设备多源异构数据集成与共享平台应用研究</w:t>
            </w:r>
          </w:p>
        </w:tc>
        <w:tc>
          <w:tcPr>
            <w:tcW w:w="625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5DB769">
            <w:pPr>
              <w:keepNext w:val="0"/>
              <w:keepLines w:val="0"/>
              <w:pageBreakBefore w:val="0"/>
              <w:widowControl/>
              <w:kinsoku/>
              <w:wordWrap/>
              <w:overflowPunct/>
              <w:topLinePunct w:val="0"/>
              <w:autoSpaceDE/>
              <w:autoSpaceDN/>
              <w:bidi w:val="0"/>
              <w:adjustRightInd/>
              <w:snapToGrid/>
              <w:spacing w:before="156" w:beforeLines="50" w:after="156" w:afterLines="50"/>
              <w:ind w:firstLine="480" w:firstLineChars="200"/>
              <w:textAlignment w:val="auto"/>
              <w:rPr>
                <w:rFonts w:hint="eastAsia" w:ascii="Times New Roman" w:hAnsi="Times New Roman" w:cs="Times New Roman" w:eastAsiaTheme="minorEastAsia"/>
                <w:iCs/>
                <w:color w:val="auto"/>
                <w:sz w:val="24"/>
                <w:szCs w:val="24"/>
                <w:lang w:val="en-US" w:eastAsia="zh-CN" w:bidi="ar-SA"/>
              </w:rPr>
            </w:pPr>
            <w:r>
              <w:rPr>
                <w:rFonts w:hint="eastAsia" w:eastAsiaTheme="minorEastAsia"/>
                <w:color w:val="auto"/>
                <w:sz w:val="24"/>
                <w:szCs w:val="24"/>
              </w:rPr>
              <w:t>针对医疗行业普遍存在设备数据孤岛、标准不统一等突出痛点，打造全院设备数据中台，融合物联网架构与设备全生命周期治理体系，夯实智慧医院核心数据底座。实现全院多科室、多类型异构医疗设备数据统一采集，制定接入交互规则，打通设备与业务系统数据壁垒；构建覆盖采集、存储、应用的全流程数据治理体系，健全数据质量管控与运维管理机制，赋能医院精细化智慧运营，助力医院数智化建设。</w:t>
            </w:r>
          </w:p>
        </w:tc>
      </w:tr>
    </w:tbl>
    <w:p w14:paraId="1E2B7761">
      <w:pPr>
        <w:ind w:firstLine="480"/>
        <w:rPr>
          <w:color w:val="auto"/>
          <w:sz w:val="24"/>
          <w:szCs w:val="24"/>
        </w:rPr>
      </w:pPr>
    </w:p>
    <w:p w14:paraId="048F770B">
      <w:pPr>
        <w:tabs>
          <w:tab w:val="left" w:pos="312"/>
        </w:tabs>
        <w:spacing w:before="0" w:after="0" w:line="360" w:lineRule="auto"/>
        <w:ind w:firstLine="480"/>
        <w:rPr>
          <w:color w:val="auto"/>
          <w:sz w:val="28"/>
          <w:szCs w:val="28"/>
        </w:rPr>
      </w:pPr>
      <w:r>
        <w:rPr>
          <w:rFonts w:hint="eastAsia"/>
          <w:color w:val="auto"/>
          <w:sz w:val="28"/>
          <w:szCs w:val="28"/>
        </w:rPr>
        <w:t>（2）自主课题：根据自身的条件和区域的特点，要求基于相关产品围绕智慧医疗、感染性疾病和麻醉产品进行研究（项目提供</w:t>
      </w:r>
      <w:r>
        <w:rPr>
          <w:color w:val="auto"/>
          <w:sz w:val="28"/>
          <w:szCs w:val="28"/>
        </w:rPr>
        <w:t>产品</w:t>
      </w:r>
      <w:r>
        <w:rPr>
          <w:rFonts w:hint="eastAsia"/>
          <w:color w:val="auto"/>
          <w:sz w:val="28"/>
          <w:szCs w:val="28"/>
        </w:rPr>
        <w:t>见表三），</w:t>
      </w:r>
      <w:r>
        <w:rPr>
          <w:color w:val="auto"/>
          <w:sz w:val="28"/>
          <w:szCs w:val="28"/>
        </w:rPr>
        <w:t>鼓励提出原创性新课题申请，鼓励学科</w:t>
      </w:r>
      <w:r>
        <w:rPr>
          <w:rFonts w:hint="eastAsia"/>
          <w:color w:val="auto"/>
          <w:sz w:val="28"/>
          <w:szCs w:val="28"/>
        </w:rPr>
        <w:t>交</w:t>
      </w:r>
      <w:r>
        <w:rPr>
          <w:color w:val="auto"/>
          <w:sz w:val="28"/>
          <w:szCs w:val="28"/>
        </w:rPr>
        <w:t>叉</w:t>
      </w:r>
      <w:r>
        <w:rPr>
          <w:rFonts w:hint="eastAsia"/>
          <w:color w:val="auto"/>
          <w:sz w:val="28"/>
          <w:szCs w:val="28"/>
        </w:rPr>
        <w:t>，申请院校可从表二中选择课题领域进行申报。</w:t>
      </w:r>
    </w:p>
    <w:p w14:paraId="0ED69A52">
      <w:pPr>
        <w:spacing w:before="0" w:after="0" w:line="360" w:lineRule="auto"/>
        <w:ind w:firstLine="562"/>
        <w:jc w:val="center"/>
        <w:rPr>
          <w:b/>
          <w:color w:val="auto"/>
          <w:sz w:val="28"/>
          <w:szCs w:val="28"/>
        </w:rPr>
      </w:pPr>
      <w:r>
        <w:rPr>
          <w:rFonts w:hint="eastAsia"/>
          <w:b/>
          <w:color w:val="auto"/>
          <w:sz w:val="28"/>
          <w:szCs w:val="28"/>
        </w:rPr>
        <w:t>表二 自主课题选题列表</w:t>
      </w:r>
    </w:p>
    <w:tbl>
      <w:tblPr>
        <w:tblStyle w:val="12"/>
        <w:tblW w:w="8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6589"/>
      </w:tblGrid>
      <w:tr w14:paraId="5158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1427" w:type="dxa"/>
            <w:shd w:val="clear" w:color="auto" w:fill="BFBFBF"/>
            <w:vAlign w:val="center"/>
          </w:tcPr>
          <w:p w14:paraId="59EAED8A">
            <w:pPr>
              <w:spacing w:line="360" w:lineRule="auto"/>
              <w:ind w:firstLine="22" w:firstLineChars="9"/>
              <w:jc w:val="center"/>
              <w:rPr>
                <w:b/>
                <w:color w:val="auto"/>
                <w:sz w:val="24"/>
                <w:szCs w:val="24"/>
              </w:rPr>
            </w:pPr>
            <w:r>
              <w:rPr>
                <w:b/>
                <w:color w:val="auto"/>
                <w:sz w:val="24"/>
                <w:szCs w:val="24"/>
              </w:rPr>
              <w:t>方向编号</w:t>
            </w:r>
          </w:p>
        </w:tc>
        <w:tc>
          <w:tcPr>
            <w:tcW w:w="6589" w:type="dxa"/>
            <w:shd w:val="clear" w:color="auto" w:fill="BFBFBF"/>
            <w:noWrap/>
            <w:vAlign w:val="center"/>
          </w:tcPr>
          <w:p w14:paraId="24A7B85A">
            <w:pPr>
              <w:spacing w:line="360" w:lineRule="auto"/>
              <w:ind w:firstLine="43" w:firstLineChars="18"/>
              <w:jc w:val="center"/>
              <w:rPr>
                <w:b/>
                <w:color w:val="auto"/>
                <w:sz w:val="24"/>
                <w:szCs w:val="24"/>
              </w:rPr>
            </w:pPr>
            <w:r>
              <w:rPr>
                <w:b/>
                <w:color w:val="auto"/>
                <w:sz w:val="24"/>
                <w:szCs w:val="24"/>
              </w:rPr>
              <w:t>课题方向</w:t>
            </w:r>
          </w:p>
        </w:tc>
      </w:tr>
      <w:tr w14:paraId="06996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 w:hRule="atLeast"/>
          <w:jc w:val="center"/>
        </w:trPr>
        <w:tc>
          <w:tcPr>
            <w:tcW w:w="1427" w:type="dxa"/>
            <w:vAlign w:val="center"/>
          </w:tcPr>
          <w:p w14:paraId="3BE1D344">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color w:val="auto"/>
                <w:sz w:val="24"/>
                <w:szCs w:val="24"/>
              </w:rPr>
            </w:pPr>
            <w:r>
              <w:rPr>
                <w:rFonts w:hint="eastAsia"/>
                <w:color w:val="auto"/>
                <w:sz w:val="24"/>
                <w:szCs w:val="24"/>
              </w:rPr>
              <w:t>B01</w:t>
            </w:r>
          </w:p>
        </w:tc>
        <w:tc>
          <w:tcPr>
            <w:tcW w:w="6589" w:type="dxa"/>
            <w:shd w:val="clear" w:color="auto" w:fill="auto"/>
            <w:noWrap/>
            <w:vAlign w:val="center"/>
          </w:tcPr>
          <w:p w14:paraId="6172A7BA">
            <w:pPr>
              <w:spacing w:before="156" w:beforeLines="50" w:after="156" w:afterLines="50" w:line="360" w:lineRule="auto"/>
              <w:ind w:firstLine="43" w:firstLineChars="18"/>
              <w:rPr>
                <w:rFonts w:eastAsiaTheme="minorEastAsia"/>
                <w:color w:val="auto"/>
                <w:sz w:val="24"/>
                <w:szCs w:val="24"/>
              </w:rPr>
            </w:pPr>
            <w:r>
              <w:rPr>
                <w:rFonts w:eastAsiaTheme="minorEastAsia"/>
                <w:color w:val="auto"/>
                <w:sz w:val="24"/>
                <w:szCs w:val="24"/>
              </w:rPr>
              <w:t>科研智能辅助系统建设与评价</w:t>
            </w:r>
          </w:p>
        </w:tc>
      </w:tr>
      <w:tr w14:paraId="6EF7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27" w:type="dxa"/>
            <w:vAlign w:val="center"/>
          </w:tcPr>
          <w:p w14:paraId="45A26255">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sz w:val="24"/>
                <w:szCs w:val="24"/>
              </w:rPr>
            </w:pPr>
            <w:r>
              <w:rPr>
                <w:rFonts w:hint="eastAsia"/>
                <w:sz w:val="24"/>
                <w:szCs w:val="24"/>
              </w:rPr>
              <w:t>B02</w:t>
            </w:r>
          </w:p>
        </w:tc>
        <w:tc>
          <w:tcPr>
            <w:tcW w:w="6589" w:type="dxa"/>
            <w:shd w:val="clear" w:color="auto" w:fill="auto"/>
            <w:noWrap/>
            <w:vAlign w:val="center"/>
          </w:tcPr>
          <w:p w14:paraId="01A340C2">
            <w:pPr>
              <w:spacing w:before="156" w:beforeLines="50" w:after="156" w:afterLines="50" w:line="360" w:lineRule="auto"/>
              <w:ind w:firstLine="43" w:firstLineChars="18"/>
              <w:rPr>
                <w:rFonts w:eastAsiaTheme="minorEastAsia"/>
                <w:color w:val="auto"/>
                <w:sz w:val="24"/>
                <w:szCs w:val="24"/>
              </w:rPr>
            </w:pPr>
            <w:r>
              <w:rPr>
                <w:rFonts w:eastAsiaTheme="minorEastAsia"/>
                <w:color w:val="auto"/>
                <w:sz w:val="24"/>
                <w:szCs w:val="24"/>
              </w:rPr>
              <w:t>基于人工智能技术的临床诊疗辅助系统建设与评价</w:t>
            </w:r>
          </w:p>
        </w:tc>
      </w:tr>
      <w:tr w14:paraId="5E5A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427" w:type="dxa"/>
            <w:vAlign w:val="center"/>
          </w:tcPr>
          <w:p w14:paraId="3A1229F2">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sz w:val="24"/>
                <w:szCs w:val="24"/>
              </w:rPr>
            </w:pPr>
            <w:r>
              <w:rPr>
                <w:rFonts w:hint="eastAsia"/>
                <w:sz w:val="24"/>
                <w:szCs w:val="24"/>
              </w:rPr>
              <w:t>B03</w:t>
            </w:r>
          </w:p>
        </w:tc>
        <w:tc>
          <w:tcPr>
            <w:tcW w:w="6589" w:type="dxa"/>
            <w:shd w:val="clear" w:color="auto" w:fill="auto"/>
            <w:noWrap/>
            <w:vAlign w:val="center"/>
          </w:tcPr>
          <w:p w14:paraId="65E00633">
            <w:pPr>
              <w:spacing w:before="156" w:beforeLines="50" w:after="156" w:afterLines="50" w:line="360" w:lineRule="auto"/>
              <w:ind w:firstLine="43" w:firstLineChars="18"/>
              <w:rPr>
                <w:rFonts w:eastAsiaTheme="minorEastAsia"/>
                <w:color w:val="auto"/>
                <w:sz w:val="24"/>
                <w:szCs w:val="24"/>
              </w:rPr>
            </w:pPr>
            <w:r>
              <w:rPr>
                <w:rFonts w:eastAsiaTheme="minorEastAsia"/>
                <w:color w:val="auto"/>
                <w:sz w:val="24"/>
                <w:szCs w:val="24"/>
              </w:rPr>
              <w:t>区域检验质量管理体系建设及评价</w:t>
            </w:r>
          </w:p>
        </w:tc>
      </w:tr>
      <w:tr w14:paraId="6ED8E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1427" w:type="dxa"/>
            <w:vAlign w:val="center"/>
          </w:tcPr>
          <w:p w14:paraId="58653A61">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sz w:val="24"/>
                <w:szCs w:val="24"/>
                <w:highlight w:val="yellow"/>
              </w:rPr>
            </w:pPr>
            <w:r>
              <w:rPr>
                <w:rFonts w:hint="eastAsia"/>
                <w:sz w:val="24"/>
                <w:szCs w:val="24"/>
              </w:rPr>
              <w:t>B04</w:t>
            </w:r>
          </w:p>
        </w:tc>
        <w:tc>
          <w:tcPr>
            <w:tcW w:w="6589" w:type="dxa"/>
            <w:shd w:val="clear" w:color="auto" w:fill="auto"/>
            <w:noWrap/>
            <w:vAlign w:val="center"/>
          </w:tcPr>
          <w:p w14:paraId="3E7D7AB3">
            <w:pPr>
              <w:pStyle w:val="5"/>
              <w:ind w:firstLine="0" w:firstLineChars="0"/>
              <w:rPr>
                <w:rFonts w:eastAsiaTheme="minorEastAsia"/>
                <w:color w:val="auto"/>
                <w:sz w:val="24"/>
                <w:szCs w:val="24"/>
                <w:highlight w:val="yellow"/>
              </w:rPr>
            </w:pPr>
            <w:r>
              <w:rPr>
                <w:rFonts w:hint="default" w:ascii="Times New Roman" w:hAnsi="Times New Roman" w:eastAsiaTheme="minorEastAsia"/>
                <w:b w:val="0"/>
                <w:bCs w:val="0"/>
                <w:color w:val="auto"/>
                <w:sz w:val="24"/>
                <w:szCs w:val="24"/>
              </w:rPr>
              <w:t>检验创新技术在临床场景中的应用价值研究（创新技术：PDR® 全景动态光测技术、TRUST双反应融合技术、单表位复合夹心SEMS技术、血凝块鹰眼核查技术、IDL技术）</w:t>
            </w:r>
          </w:p>
        </w:tc>
      </w:tr>
      <w:tr w14:paraId="1C7B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427" w:type="dxa"/>
            <w:vAlign w:val="center"/>
          </w:tcPr>
          <w:p w14:paraId="12524361">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color w:val="auto"/>
                <w:sz w:val="24"/>
                <w:szCs w:val="24"/>
                <w:highlight w:val="yellow"/>
              </w:rPr>
            </w:pPr>
            <w:r>
              <w:rPr>
                <w:rFonts w:hint="eastAsia"/>
                <w:sz w:val="24"/>
                <w:szCs w:val="24"/>
              </w:rPr>
              <w:t>B05</w:t>
            </w:r>
          </w:p>
        </w:tc>
        <w:tc>
          <w:tcPr>
            <w:tcW w:w="6589" w:type="dxa"/>
            <w:shd w:val="clear" w:color="auto" w:fill="auto"/>
            <w:noWrap/>
            <w:vAlign w:val="center"/>
          </w:tcPr>
          <w:p w14:paraId="78EFA432">
            <w:pPr>
              <w:spacing w:before="0" w:after="0"/>
              <w:ind w:firstLine="0" w:firstLineChars="0"/>
              <w:rPr>
                <w:rFonts w:eastAsiaTheme="minorEastAsia"/>
                <w:color w:val="auto"/>
                <w:sz w:val="24"/>
                <w:szCs w:val="24"/>
              </w:rPr>
            </w:pPr>
            <w:r>
              <w:rPr>
                <w:rFonts w:hint="eastAsia" w:eastAsiaTheme="minorEastAsia"/>
                <w:color w:val="auto"/>
                <w:sz w:val="24"/>
                <w:szCs w:val="24"/>
              </w:rPr>
              <w:t>面向微创手术临床应用场景的多维度科研价值探索和挖掘</w:t>
            </w:r>
          </w:p>
        </w:tc>
      </w:tr>
      <w:tr w14:paraId="4980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427" w:type="dxa"/>
            <w:shd w:val="clear" w:color="auto" w:fill="auto"/>
            <w:vAlign w:val="center"/>
          </w:tcPr>
          <w:p w14:paraId="3709A2A7">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color w:val="auto"/>
                <w:sz w:val="24"/>
                <w:szCs w:val="24"/>
                <w:highlight w:val="yellow"/>
              </w:rPr>
            </w:pPr>
            <w:r>
              <w:rPr>
                <w:rFonts w:hint="eastAsia"/>
                <w:sz w:val="24"/>
                <w:szCs w:val="24"/>
              </w:rPr>
              <w:t>B06</w:t>
            </w:r>
          </w:p>
        </w:tc>
        <w:tc>
          <w:tcPr>
            <w:tcW w:w="6589" w:type="dxa"/>
            <w:shd w:val="clear" w:color="auto" w:fill="auto"/>
            <w:noWrap/>
            <w:vAlign w:val="center"/>
          </w:tcPr>
          <w:p w14:paraId="07B1C287">
            <w:pPr>
              <w:spacing w:before="0" w:after="0"/>
              <w:ind w:firstLine="0" w:firstLineChars="0"/>
              <w:rPr>
                <w:rFonts w:eastAsiaTheme="minorEastAsia"/>
                <w:color w:val="auto"/>
                <w:sz w:val="24"/>
                <w:szCs w:val="24"/>
              </w:rPr>
            </w:pPr>
            <w:r>
              <w:rPr>
                <w:rFonts w:hint="eastAsia" w:eastAsiaTheme="minorEastAsia"/>
                <w:color w:val="auto"/>
                <w:sz w:val="24"/>
                <w:szCs w:val="24"/>
              </w:rPr>
              <w:t>基本生命体征持续监测与智能预警决策支持系统研究</w:t>
            </w:r>
          </w:p>
        </w:tc>
      </w:tr>
      <w:tr w14:paraId="70F1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427" w:type="dxa"/>
            <w:vAlign w:val="center"/>
          </w:tcPr>
          <w:p w14:paraId="5F7E393E">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color w:val="auto"/>
                <w:sz w:val="24"/>
                <w:szCs w:val="24"/>
                <w:highlight w:val="yellow"/>
              </w:rPr>
            </w:pPr>
            <w:r>
              <w:rPr>
                <w:rFonts w:hint="eastAsia"/>
                <w:sz w:val="24"/>
                <w:szCs w:val="24"/>
              </w:rPr>
              <w:t>B07</w:t>
            </w:r>
          </w:p>
        </w:tc>
        <w:tc>
          <w:tcPr>
            <w:tcW w:w="6589" w:type="dxa"/>
            <w:shd w:val="clear" w:color="auto" w:fill="auto"/>
            <w:noWrap/>
            <w:vAlign w:val="center"/>
          </w:tcPr>
          <w:p w14:paraId="0866F5D7">
            <w:pPr>
              <w:spacing w:before="0" w:after="0"/>
              <w:ind w:firstLine="0" w:firstLineChars="0"/>
              <w:rPr>
                <w:rFonts w:eastAsiaTheme="minorEastAsia"/>
                <w:color w:val="auto"/>
                <w:sz w:val="24"/>
                <w:szCs w:val="24"/>
              </w:rPr>
            </w:pPr>
            <w:r>
              <w:rPr>
                <w:rFonts w:hint="eastAsia" w:eastAsiaTheme="minorEastAsia"/>
                <w:color w:val="auto"/>
                <w:sz w:val="24"/>
                <w:szCs w:val="24"/>
              </w:rPr>
              <w:t>围术期器官保护系统性研究</w:t>
            </w:r>
          </w:p>
        </w:tc>
      </w:tr>
      <w:tr w14:paraId="46A2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427" w:type="dxa"/>
            <w:vAlign w:val="center"/>
          </w:tcPr>
          <w:p w14:paraId="0AF70E59">
            <w:pPr>
              <w:keepNext w:val="0"/>
              <w:keepLines w:val="0"/>
              <w:pageBreakBefore w:val="0"/>
              <w:widowControl/>
              <w:kinsoku/>
              <w:wordWrap/>
              <w:overflowPunct/>
              <w:topLinePunct w:val="0"/>
              <w:autoSpaceDE/>
              <w:autoSpaceDN/>
              <w:bidi w:val="0"/>
              <w:adjustRightInd/>
              <w:snapToGrid/>
              <w:spacing w:before="0" w:after="0" w:line="360" w:lineRule="auto"/>
              <w:ind w:firstLine="0" w:firstLineChars="0"/>
              <w:jc w:val="center"/>
              <w:textAlignment w:val="auto"/>
              <w:rPr>
                <w:sz w:val="24"/>
                <w:szCs w:val="24"/>
              </w:rPr>
            </w:pPr>
            <w:r>
              <w:rPr>
                <w:rFonts w:hint="eastAsia"/>
                <w:sz w:val="24"/>
                <w:szCs w:val="24"/>
              </w:rPr>
              <w:t>B08</w:t>
            </w:r>
          </w:p>
        </w:tc>
        <w:tc>
          <w:tcPr>
            <w:tcW w:w="6589" w:type="dxa"/>
            <w:shd w:val="clear" w:color="auto" w:fill="auto"/>
            <w:noWrap/>
            <w:vAlign w:val="center"/>
          </w:tcPr>
          <w:p w14:paraId="42EE2F8B">
            <w:pPr>
              <w:spacing w:before="0" w:after="0"/>
              <w:ind w:firstLine="0" w:firstLineChars="0"/>
              <w:rPr>
                <w:rFonts w:eastAsiaTheme="minorEastAsia"/>
                <w:color w:val="auto"/>
                <w:sz w:val="24"/>
                <w:szCs w:val="24"/>
              </w:rPr>
            </w:pPr>
            <w:r>
              <w:rPr>
                <w:rFonts w:hint="eastAsia" w:eastAsiaTheme="minorEastAsia"/>
                <w:color w:val="auto"/>
                <w:sz w:val="24"/>
                <w:szCs w:val="24"/>
              </w:rPr>
              <w:t>超声新技术在临床诊疗的探索性研究</w:t>
            </w:r>
          </w:p>
        </w:tc>
      </w:tr>
    </w:tbl>
    <w:p w14:paraId="6C7B3670">
      <w:pPr>
        <w:pStyle w:val="3"/>
        <w:numPr>
          <w:ilvl w:val="0"/>
          <w:numId w:val="0"/>
        </w:numPr>
        <w:spacing w:before="312" w:beforeLines="100" w:line="360" w:lineRule="auto"/>
        <w:ind w:firstLine="643" w:firstLineChars="200"/>
        <w:rPr>
          <w:rFonts w:hint="eastAsia" w:ascii="宋体" w:hAnsi="宋体" w:eastAsia="宋体" w:cs="宋体"/>
          <w:sz w:val="32"/>
          <w:szCs w:val="32"/>
        </w:rPr>
      </w:pPr>
      <w:r>
        <w:rPr>
          <w:rFonts w:hint="eastAsia" w:ascii="宋体" w:hAnsi="宋体" w:eastAsia="宋体" w:cs="宋体"/>
          <w:sz w:val="32"/>
          <w:szCs w:val="32"/>
        </w:rPr>
        <w:t>二、申报条件和要求</w:t>
      </w:r>
    </w:p>
    <w:p w14:paraId="4DE45D39">
      <w:pPr>
        <w:spacing w:before="0" w:after="0" w:line="360" w:lineRule="auto"/>
        <w:ind w:firstLine="560"/>
        <w:rPr>
          <w:sz w:val="28"/>
          <w:szCs w:val="28"/>
        </w:rPr>
      </w:pPr>
      <w:r>
        <w:rPr>
          <w:rFonts w:hint="eastAsia"/>
          <w:sz w:val="28"/>
          <w:szCs w:val="28"/>
        </w:rPr>
        <w:t>1.申请人具有较强科研能力，能够独立开展研究和组织开展研究，对所申报课题</w:t>
      </w:r>
      <w:r>
        <w:rPr>
          <w:rFonts w:hint="eastAsia"/>
          <w:color w:val="auto"/>
          <w:sz w:val="28"/>
          <w:szCs w:val="28"/>
        </w:rPr>
        <w:t>已具有一定的研究基础，</w:t>
      </w:r>
      <w:r>
        <w:rPr>
          <w:rFonts w:hint="eastAsia"/>
          <w:sz w:val="28"/>
          <w:szCs w:val="28"/>
        </w:rPr>
        <w:t>能够承担实质性研究工作；团队成员在选定的研究课题方向有较好的技术储备，包括与申报课题研究内容相关的研究成果、教材、论文、专利、获奖等。</w:t>
      </w:r>
    </w:p>
    <w:p w14:paraId="4CD93B55">
      <w:pPr>
        <w:spacing w:before="0" w:after="0" w:line="360" w:lineRule="auto"/>
        <w:ind w:firstLine="560"/>
        <w:rPr>
          <w:sz w:val="28"/>
          <w:szCs w:val="28"/>
        </w:rPr>
      </w:pPr>
      <w:r>
        <w:rPr>
          <w:rFonts w:hint="eastAsia"/>
          <w:sz w:val="28"/>
          <w:szCs w:val="28"/>
        </w:rPr>
        <w:t>2.团队组成合理，分工明确，成员不少于</w:t>
      </w:r>
      <w:r>
        <w:rPr>
          <w:rFonts w:hint="eastAsia"/>
          <w:sz w:val="28"/>
          <w:szCs w:val="28"/>
          <w:lang w:val="en-US" w:eastAsia="zh-CN"/>
        </w:rPr>
        <w:t>4</w:t>
      </w:r>
      <w:r>
        <w:rPr>
          <w:rFonts w:hint="eastAsia"/>
          <w:sz w:val="28"/>
          <w:szCs w:val="28"/>
        </w:rPr>
        <w:t>人。课题组成员须征得本人同意并签字确认，否则视为违规申报。</w:t>
      </w:r>
    </w:p>
    <w:p w14:paraId="44C60DBC">
      <w:pPr>
        <w:spacing w:before="0" w:after="0" w:line="360" w:lineRule="auto"/>
        <w:ind w:firstLine="560"/>
        <w:rPr>
          <w:sz w:val="28"/>
          <w:szCs w:val="28"/>
        </w:rPr>
      </w:pPr>
      <w:r>
        <w:rPr>
          <w:rFonts w:hint="eastAsia"/>
          <w:sz w:val="28"/>
          <w:szCs w:val="28"/>
        </w:rPr>
        <w:t>3.优先支持已经设立相关前沿专业/学科，或已经成立相关研究中心的院校。</w:t>
      </w:r>
    </w:p>
    <w:p w14:paraId="7D09C7AD">
      <w:pPr>
        <w:spacing w:before="0" w:after="0" w:line="360" w:lineRule="auto"/>
        <w:ind w:firstLine="560"/>
        <w:rPr>
          <w:sz w:val="28"/>
          <w:szCs w:val="28"/>
        </w:rPr>
      </w:pPr>
      <w:r>
        <w:rPr>
          <w:rFonts w:hint="eastAsia"/>
          <w:sz w:val="28"/>
          <w:szCs w:val="28"/>
        </w:rPr>
        <w:t>4.</w:t>
      </w:r>
      <w:r>
        <w:rPr>
          <w:color w:val="000000"/>
          <w:sz w:val="28"/>
          <w:szCs w:val="28"/>
        </w:rPr>
        <w:t>优先支持选题方向符合上述固定选题方向（表一）要求的课题</w:t>
      </w:r>
      <w:r>
        <w:rPr>
          <w:rFonts w:hint="eastAsia"/>
          <w:color w:val="auto"/>
          <w:sz w:val="28"/>
          <w:szCs w:val="28"/>
        </w:rPr>
        <w:t>。</w:t>
      </w:r>
    </w:p>
    <w:p w14:paraId="7B3E24A4">
      <w:pPr>
        <w:spacing w:before="0" w:after="0" w:line="360" w:lineRule="auto"/>
        <w:ind w:firstLine="560"/>
        <w:rPr>
          <w:sz w:val="28"/>
          <w:szCs w:val="28"/>
        </w:rPr>
      </w:pPr>
      <w:r>
        <w:rPr>
          <w:rFonts w:hint="eastAsia"/>
          <w:sz w:val="28"/>
          <w:szCs w:val="28"/>
        </w:rPr>
        <w:t>5.优</w:t>
      </w:r>
      <w:bookmarkStart w:id="0" w:name="_GoBack"/>
      <w:bookmarkEnd w:id="0"/>
      <w:r>
        <w:rPr>
          <w:rFonts w:hint="eastAsia"/>
          <w:sz w:val="28"/>
          <w:szCs w:val="28"/>
        </w:rPr>
        <w:t>先支持研究内容有创造性、前瞻性和实用性，有商业化前景的课题。</w:t>
      </w:r>
    </w:p>
    <w:p w14:paraId="1A109DE4">
      <w:pPr>
        <w:spacing w:before="0" w:after="0" w:line="360" w:lineRule="auto"/>
        <w:ind w:firstLine="560"/>
        <w:rPr>
          <w:sz w:val="28"/>
          <w:szCs w:val="28"/>
        </w:rPr>
      </w:pPr>
      <w:r>
        <w:rPr>
          <w:rFonts w:hint="eastAsia"/>
          <w:sz w:val="28"/>
          <w:szCs w:val="28"/>
        </w:rPr>
        <w:t>6.优先支持有既往研究数据或明确研究成果的项目，成果有应用价值，课题可复制、可推广，不支持纯理论研究。</w:t>
      </w:r>
    </w:p>
    <w:p w14:paraId="0A86067A">
      <w:pPr>
        <w:spacing w:before="0" w:after="0" w:line="360" w:lineRule="auto"/>
        <w:ind w:firstLine="560"/>
        <w:rPr>
          <w:sz w:val="28"/>
          <w:szCs w:val="28"/>
        </w:rPr>
      </w:pPr>
      <w:r>
        <w:rPr>
          <w:rFonts w:hint="eastAsia"/>
          <w:sz w:val="28"/>
          <w:szCs w:val="28"/>
        </w:rPr>
        <w:t>7.优先支持研究方向明确，研究内容详实，研究方案完整可行的课题。</w:t>
      </w:r>
    </w:p>
    <w:p w14:paraId="52B33735">
      <w:pPr>
        <w:spacing w:before="0" w:after="0" w:line="360" w:lineRule="auto"/>
        <w:ind w:firstLine="560"/>
        <w:rPr>
          <w:sz w:val="28"/>
          <w:szCs w:val="28"/>
        </w:rPr>
      </w:pPr>
      <w:r>
        <w:rPr>
          <w:rFonts w:hint="eastAsia"/>
          <w:sz w:val="28"/>
          <w:szCs w:val="28"/>
        </w:rPr>
        <w:t>8.优先支持院校对所申报课题有资金、政策、人员和场地等条件支持的课题。</w:t>
      </w:r>
    </w:p>
    <w:p w14:paraId="4059D1A2">
      <w:pPr>
        <w:widowControl w:val="0"/>
        <w:spacing w:before="0" w:after="0" w:line="360" w:lineRule="auto"/>
        <w:ind w:firstLine="560"/>
        <w:rPr>
          <w:sz w:val="28"/>
          <w:szCs w:val="28"/>
        </w:rPr>
      </w:pPr>
      <w:r>
        <w:rPr>
          <w:sz w:val="28"/>
          <w:szCs w:val="28"/>
        </w:rPr>
        <w:t>9</w:t>
      </w:r>
      <w:r>
        <w:rPr>
          <w:rFonts w:hint="eastAsia"/>
          <w:sz w:val="28"/>
          <w:szCs w:val="28"/>
        </w:rPr>
        <w:t>.申请人应客观、真实地填写申请书，没有知识产权争议，遵守国家有关知识产权法规。在课题申请</w:t>
      </w:r>
      <w:r>
        <w:rPr>
          <w:sz w:val="28"/>
          <w:szCs w:val="28"/>
        </w:rPr>
        <w:t>书</w:t>
      </w:r>
      <w:r>
        <w:rPr>
          <w:rFonts w:hint="eastAsia"/>
          <w:sz w:val="28"/>
          <w:szCs w:val="28"/>
        </w:rPr>
        <w:t>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如获立项即予撤项。</w:t>
      </w:r>
    </w:p>
    <w:p w14:paraId="50CC0479">
      <w:pPr>
        <w:spacing w:before="0" w:after="0" w:line="360" w:lineRule="auto"/>
        <w:ind w:firstLine="560"/>
        <w:rPr>
          <w:sz w:val="28"/>
          <w:szCs w:val="28"/>
        </w:rPr>
      </w:pPr>
      <w:r>
        <w:rPr>
          <w:rFonts w:hint="eastAsia"/>
          <w:sz w:val="28"/>
          <w:szCs w:val="28"/>
        </w:rPr>
        <w:t>1</w:t>
      </w:r>
      <w:r>
        <w:rPr>
          <w:sz w:val="28"/>
          <w:szCs w:val="28"/>
        </w:rPr>
        <w:t>0</w:t>
      </w:r>
      <w:r>
        <w:rPr>
          <w:rFonts w:hint="eastAsia"/>
          <w:sz w:val="28"/>
          <w:szCs w:val="28"/>
        </w:rPr>
        <w:t>.</w:t>
      </w:r>
      <w:r>
        <w:rPr>
          <w:color w:val="auto"/>
          <w:sz w:val="28"/>
          <w:szCs w:val="28"/>
          <w:lang w:val="zh-TW" w:eastAsia="zh-TW"/>
        </w:rPr>
        <w:t>在项目开展过程中，</w:t>
      </w:r>
      <w:r>
        <w:rPr>
          <w:rFonts w:hint="eastAsia"/>
          <w:sz w:val="28"/>
          <w:szCs w:val="28"/>
        </w:rPr>
        <w:t>课题组需具备可独立支配的课题研究基础软硬件条件。</w:t>
      </w:r>
      <w:r>
        <w:rPr>
          <w:color w:val="auto"/>
          <w:sz w:val="28"/>
          <w:szCs w:val="28"/>
          <w:lang w:val="zh-TW" w:eastAsia="zh-TW"/>
        </w:rPr>
        <w:t>如需外部资源支持，须在项目申报书中明确指出</w:t>
      </w:r>
      <w:r>
        <w:rPr>
          <w:rFonts w:hint="eastAsia"/>
          <w:sz w:val="28"/>
          <w:szCs w:val="28"/>
        </w:rPr>
        <w:t>。</w:t>
      </w:r>
    </w:p>
    <w:p w14:paraId="3DD480E1">
      <w:pPr>
        <w:pStyle w:val="3"/>
        <w:numPr>
          <w:ilvl w:val="0"/>
          <w:numId w:val="0"/>
        </w:numPr>
        <w:spacing w:before="0" w:beforeLines="0" w:line="360" w:lineRule="auto"/>
        <w:ind w:left="561"/>
        <w:rPr>
          <w:rFonts w:hint="eastAsia" w:ascii="宋体" w:hAnsi="宋体" w:eastAsia="宋体" w:cs="宋体"/>
          <w:sz w:val="32"/>
          <w:szCs w:val="32"/>
        </w:rPr>
      </w:pPr>
      <w:r>
        <w:rPr>
          <w:rFonts w:hint="eastAsia" w:ascii="宋体" w:hAnsi="宋体" w:eastAsia="宋体" w:cs="宋体"/>
          <w:sz w:val="32"/>
          <w:szCs w:val="32"/>
        </w:rPr>
        <w:t>三、资源及服务</w:t>
      </w:r>
    </w:p>
    <w:p w14:paraId="1C61194C">
      <w:pPr>
        <w:spacing w:before="0" w:after="0" w:line="360" w:lineRule="auto"/>
        <w:ind w:firstLine="560"/>
        <w:rPr>
          <w:sz w:val="28"/>
          <w:szCs w:val="28"/>
        </w:rPr>
      </w:pPr>
      <w:r>
        <w:rPr>
          <w:sz w:val="28"/>
          <w:szCs w:val="28"/>
        </w:rPr>
        <w:t>针对入选合作院校，基金将提供完善的资源和服务体系（见表三），以保证院校顺利开展合作项目，并为院校检验、超声、监护</w:t>
      </w:r>
      <w:r>
        <w:rPr>
          <w:rFonts w:hint="eastAsia"/>
          <w:sz w:val="28"/>
          <w:szCs w:val="28"/>
        </w:rPr>
        <w:t>、骨科和医工</w:t>
      </w:r>
      <w:r>
        <w:rPr>
          <w:sz w:val="28"/>
          <w:szCs w:val="28"/>
        </w:rPr>
        <w:t>方向的学科建设及人才培养提供长期有效的支持。</w:t>
      </w:r>
    </w:p>
    <w:p w14:paraId="54143F1E">
      <w:pPr>
        <w:pStyle w:val="2"/>
        <w:spacing w:before="0" w:after="156" w:afterLines="50" w:line="360" w:lineRule="auto"/>
        <w:ind w:firstLine="560" w:firstLineChars="200"/>
        <w:jc w:val="left"/>
        <w:rPr>
          <w:rFonts w:eastAsia="宋体"/>
          <w:b w:val="0"/>
          <w:bCs w:val="0"/>
          <w:color w:val="000000" w:themeColor="text1"/>
          <w:sz w:val="28"/>
          <w:szCs w:val="28"/>
          <w14:textFill>
            <w14:solidFill>
              <w14:schemeClr w14:val="tx1"/>
            </w14:solidFill>
          </w14:textFill>
        </w:rPr>
      </w:pPr>
      <w:r>
        <w:rPr>
          <w:rFonts w:eastAsia="宋体"/>
          <w:b w:val="0"/>
          <w:bCs w:val="0"/>
          <w:color w:val="000000" w:themeColor="text1"/>
          <w:sz w:val="28"/>
          <w:szCs w:val="28"/>
          <w14:textFill>
            <w14:solidFill>
              <w14:schemeClr w14:val="tx1"/>
            </w14:solidFill>
          </w14:textFill>
        </w:rPr>
        <w:t>1.</w:t>
      </w:r>
      <w:r>
        <w:rPr>
          <w:rFonts w:hint="eastAsia" w:eastAsia="宋体"/>
          <w:b w:val="0"/>
          <w:bCs w:val="0"/>
          <w:color w:val="000000" w:themeColor="text1"/>
          <w:sz w:val="28"/>
          <w:szCs w:val="28"/>
          <w:lang w:eastAsia="zh-CN"/>
          <w14:textFill>
            <w14:solidFill>
              <w14:schemeClr w14:val="tx1"/>
            </w14:solidFill>
          </w14:textFill>
        </w:rPr>
        <w:t>“</w:t>
      </w:r>
      <w:r>
        <w:rPr>
          <w:rFonts w:eastAsia="宋体"/>
          <w:b w:val="0"/>
          <w:bCs w:val="0"/>
          <w:color w:val="000000" w:themeColor="text1"/>
          <w:sz w:val="28"/>
          <w:szCs w:val="28"/>
          <w14:textFill>
            <w14:solidFill>
              <w14:schemeClr w14:val="tx1"/>
            </w14:solidFill>
          </w14:textFill>
        </w:rPr>
        <w:t>迈瑞专项</w:t>
      </w:r>
      <w:r>
        <w:rPr>
          <w:rFonts w:hint="eastAsia" w:eastAsia="宋体"/>
          <w:b w:val="0"/>
          <w:bCs w:val="0"/>
          <w:color w:val="000000" w:themeColor="text1"/>
          <w:sz w:val="28"/>
          <w:szCs w:val="28"/>
          <w:lang w:eastAsia="zh-CN"/>
          <w14:textFill>
            <w14:solidFill>
              <w14:schemeClr w14:val="tx1"/>
            </w14:solidFill>
          </w14:textFill>
        </w:rPr>
        <w:t>”</w:t>
      </w:r>
      <w:r>
        <w:rPr>
          <w:rFonts w:eastAsia="宋体"/>
          <w:b w:val="0"/>
          <w:bCs w:val="0"/>
          <w:color w:val="000000" w:themeColor="text1"/>
          <w:sz w:val="28"/>
          <w:szCs w:val="28"/>
          <w14:textFill>
            <w14:solidFill>
              <w14:schemeClr w14:val="tx1"/>
            </w14:solidFill>
          </w14:textFill>
        </w:rPr>
        <w:t>为每个立项课题提供对应的经费支持与技术服务支持。</w:t>
      </w:r>
    </w:p>
    <w:p w14:paraId="7A7E785F">
      <w:pPr>
        <w:spacing w:before="0" w:after="0" w:line="360" w:lineRule="auto"/>
        <w:ind w:firstLine="560"/>
        <w:rPr>
          <w:sz w:val="28"/>
          <w:szCs w:val="28"/>
        </w:rPr>
      </w:pPr>
      <w:r>
        <w:rPr>
          <w:sz w:val="28"/>
          <w:szCs w:val="28"/>
        </w:rPr>
        <w:t>2.项目发起单位将为院校申报该专项课题提供项目咨询服务和技术支持，辅助科研项目方案的落地实行和成果产业化。</w:t>
      </w:r>
      <w:r>
        <w:rPr>
          <w:sz w:val="28"/>
          <w:szCs w:val="28"/>
        </w:rPr>
        <w:br w:type="page"/>
      </w:r>
    </w:p>
    <w:p w14:paraId="60DCDB88">
      <w:pPr>
        <w:pStyle w:val="18"/>
        <w:spacing w:before="156" w:beforeLines="50" w:after="0" w:line="360" w:lineRule="auto"/>
        <w:ind w:left="920" w:firstLine="984" w:firstLineChars="350"/>
        <w:rPr>
          <w:b/>
          <w:color w:val="auto"/>
          <w:sz w:val="28"/>
          <w:szCs w:val="28"/>
        </w:rPr>
      </w:pPr>
      <w:r>
        <w:rPr>
          <w:rFonts w:hint="eastAsia"/>
          <w:b/>
          <w:color w:val="auto"/>
          <w:sz w:val="28"/>
          <w:szCs w:val="28"/>
        </w:rPr>
        <w:t>表三 提供给课题研究的软硬件平台说明</w:t>
      </w:r>
    </w:p>
    <w:tbl>
      <w:tblPr>
        <w:tblStyle w:val="12"/>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1418"/>
        <w:gridCol w:w="6757"/>
      </w:tblGrid>
      <w:tr w14:paraId="0A58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129" w:type="dxa"/>
            <w:shd w:val="clear" w:color="000000" w:fill="C0C0C0"/>
            <w:vAlign w:val="center"/>
          </w:tcPr>
          <w:p w14:paraId="13DED689">
            <w:pPr>
              <w:spacing w:before="0" w:after="0"/>
              <w:ind w:firstLine="0" w:firstLineChars="0"/>
              <w:jc w:val="center"/>
              <w:rPr>
                <w:b/>
                <w:color w:val="auto"/>
                <w:sz w:val="24"/>
                <w:szCs w:val="24"/>
              </w:rPr>
            </w:pPr>
            <w:r>
              <w:rPr>
                <w:rFonts w:hint="eastAsia"/>
                <w:b/>
                <w:color w:val="auto"/>
                <w:sz w:val="24"/>
                <w:szCs w:val="24"/>
              </w:rPr>
              <w:t>序</w:t>
            </w:r>
            <w:r>
              <w:rPr>
                <w:b/>
                <w:color w:val="auto"/>
                <w:sz w:val="24"/>
                <w:szCs w:val="24"/>
              </w:rPr>
              <w:t>号</w:t>
            </w:r>
          </w:p>
        </w:tc>
        <w:tc>
          <w:tcPr>
            <w:tcW w:w="1418" w:type="dxa"/>
            <w:shd w:val="clear" w:color="000000" w:fill="C0C0C0"/>
            <w:vAlign w:val="center"/>
          </w:tcPr>
          <w:p w14:paraId="66D90F59">
            <w:pPr>
              <w:spacing w:before="0" w:after="0"/>
              <w:ind w:firstLine="0" w:firstLineChars="0"/>
              <w:jc w:val="center"/>
              <w:rPr>
                <w:b/>
                <w:color w:val="auto"/>
                <w:sz w:val="24"/>
                <w:szCs w:val="24"/>
              </w:rPr>
            </w:pPr>
            <w:r>
              <w:rPr>
                <w:b/>
                <w:color w:val="auto"/>
                <w:sz w:val="24"/>
                <w:szCs w:val="24"/>
              </w:rPr>
              <w:t>名称</w:t>
            </w:r>
          </w:p>
        </w:tc>
        <w:tc>
          <w:tcPr>
            <w:tcW w:w="6757" w:type="dxa"/>
            <w:shd w:val="clear" w:color="000000" w:fill="C0C0C0"/>
            <w:vAlign w:val="center"/>
          </w:tcPr>
          <w:p w14:paraId="302EB169">
            <w:pPr>
              <w:spacing w:before="0" w:after="0"/>
              <w:ind w:firstLine="0" w:firstLineChars="0"/>
              <w:jc w:val="center"/>
              <w:rPr>
                <w:b/>
                <w:color w:val="auto"/>
                <w:sz w:val="24"/>
                <w:szCs w:val="24"/>
              </w:rPr>
            </w:pPr>
            <w:r>
              <w:rPr>
                <w:b/>
                <w:color w:val="auto"/>
                <w:sz w:val="24"/>
                <w:szCs w:val="24"/>
              </w:rPr>
              <w:t>详细介绍</w:t>
            </w:r>
          </w:p>
        </w:tc>
      </w:tr>
      <w:tr w14:paraId="7437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1129" w:type="dxa"/>
            <w:shd w:val="clear" w:color="auto" w:fill="auto"/>
            <w:vAlign w:val="center"/>
          </w:tcPr>
          <w:p w14:paraId="0B00BDA6">
            <w:pPr>
              <w:spacing w:before="0" w:after="0"/>
              <w:ind w:firstLine="0" w:firstLineChars="0"/>
              <w:jc w:val="center"/>
              <w:rPr>
                <w:color w:val="auto"/>
                <w:sz w:val="24"/>
                <w:szCs w:val="24"/>
              </w:rPr>
            </w:pPr>
            <w:r>
              <w:rPr>
                <w:color w:val="auto"/>
                <w:sz w:val="24"/>
                <w:szCs w:val="24"/>
              </w:rPr>
              <w:t>01</w:t>
            </w:r>
          </w:p>
        </w:tc>
        <w:tc>
          <w:tcPr>
            <w:tcW w:w="1418" w:type="dxa"/>
            <w:shd w:val="clear" w:color="auto" w:fill="auto"/>
            <w:vAlign w:val="center"/>
          </w:tcPr>
          <w:p w14:paraId="367851FC">
            <w:pPr>
              <w:ind w:firstLine="0" w:firstLineChars="0"/>
              <w:rPr>
                <w:sz w:val="24"/>
                <w:szCs w:val="24"/>
              </w:rPr>
            </w:pPr>
            <w:r>
              <w:rPr>
                <w:sz w:val="24"/>
                <w:szCs w:val="24"/>
              </w:rPr>
              <w:t>全自动化学发光免疫分析仪</w:t>
            </w:r>
          </w:p>
          <w:p w14:paraId="40EE11BB">
            <w:pPr>
              <w:spacing w:before="0" w:after="0"/>
              <w:ind w:firstLine="0" w:firstLineChars="0"/>
              <w:jc w:val="left"/>
              <w:rPr>
                <w:sz w:val="24"/>
                <w:szCs w:val="24"/>
              </w:rPr>
            </w:pPr>
          </w:p>
        </w:tc>
        <w:tc>
          <w:tcPr>
            <w:tcW w:w="6757" w:type="dxa"/>
            <w:shd w:val="clear" w:color="auto" w:fill="auto"/>
            <w:vAlign w:val="center"/>
          </w:tcPr>
          <w:p w14:paraId="082AFCF7">
            <w:pPr>
              <w:keepNext w:val="0"/>
              <w:keepLines w:val="0"/>
              <w:pageBreakBefore w:val="0"/>
              <w:widowControl/>
              <w:kinsoku/>
              <w:wordWrap/>
              <w:overflowPunct/>
              <w:topLinePunct w:val="0"/>
              <w:autoSpaceDE/>
              <w:autoSpaceDN/>
              <w:bidi w:val="0"/>
              <w:adjustRightInd/>
              <w:snapToGrid/>
              <w:ind w:firstLine="480" w:firstLineChars="200"/>
              <w:textAlignment w:val="auto"/>
              <w:rPr>
                <w:sz w:val="24"/>
                <w:szCs w:val="24"/>
              </w:rPr>
            </w:pPr>
            <w:r>
              <w:rPr>
                <w:sz w:val="24"/>
                <w:szCs w:val="24"/>
              </w:rPr>
              <w:t>CL-8000i全自动化学发光免疫分析系统，采用基于AMPPD和碱性磷酸酶的间接化学发光法，与配套的检测试剂共同使用，在临床上用于对来源于人体的血清、血浆和尿液样本中的被分析物进行定性或定量检测，包括激素、糖尿病、心肌标志物、肿瘤标志物、感染性疾病的相关项目。采用VU-Mix和FS-Sampling等技术，使检测结果更加精准稳定。一键校准质控、快速试剂更换等易用性设计，大幅提高工作效率。高通量的检测速度、样本急中急功能，有效保障TAT时间。</w:t>
            </w:r>
          </w:p>
        </w:tc>
      </w:tr>
      <w:tr w14:paraId="2F6FD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1129" w:type="dxa"/>
            <w:shd w:val="clear" w:color="auto" w:fill="auto"/>
            <w:vAlign w:val="center"/>
          </w:tcPr>
          <w:p w14:paraId="09C07B69">
            <w:pPr>
              <w:spacing w:before="0" w:after="0"/>
              <w:ind w:firstLine="0" w:firstLineChars="0"/>
              <w:jc w:val="center"/>
              <w:rPr>
                <w:color w:val="auto"/>
                <w:sz w:val="24"/>
                <w:szCs w:val="24"/>
              </w:rPr>
            </w:pPr>
            <w:r>
              <w:rPr>
                <w:color w:val="auto"/>
                <w:sz w:val="24"/>
                <w:szCs w:val="24"/>
              </w:rPr>
              <w:t>02</w:t>
            </w:r>
          </w:p>
        </w:tc>
        <w:tc>
          <w:tcPr>
            <w:tcW w:w="1418" w:type="dxa"/>
            <w:shd w:val="clear" w:color="auto" w:fill="auto"/>
            <w:vAlign w:val="center"/>
          </w:tcPr>
          <w:p w14:paraId="384B10D6">
            <w:pPr>
              <w:ind w:firstLine="0" w:firstLineChars="0"/>
              <w:rPr>
                <w:sz w:val="24"/>
                <w:szCs w:val="24"/>
              </w:rPr>
            </w:pPr>
            <w:r>
              <w:rPr>
                <w:sz w:val="24"/>
                <w:szCs w:val="24"/>
              </w:rPr>
              <w:t>全自动生化分析系统</w:t>
            </w:r>
          </w:p>
        </w:tc>
        <w:tc>
          <w:tcPr>
            <w:tcW w:w="6757" w:type="dxa"/>
            <w:shd w:val="clear" w:color="auto" w:fill="auto"/>
            <w:vAlign w:val="center"/>
          </w:tcPr>
          <w:p w14:paraId="32D1A33B">
            <w:pPr>
              <w:keepNext w:val="0"/>
              <w:keepLines w:val="0"/>
              <w:pageBreakBefore w:val="0"/>
              <w:widowControl/>
              <w:kinsoku/>
              <w:wordWrap/>
              <w:overflowPunct/>
              <w:topLinePunct w:val="0"/>
              <w:autoSpaceDE/>
              <w:autoSpaceDN/>
              <w:bidi w:val="0"/>
              <w:adjustRightInd/>
              <w:snapToGrid/>
              <w:ind w:firstLine="480" w:firstLineChars="200"/>
              <w:textAlignment w:val="auto"/>
              <w:rPr>
                <w:sz w:val="24"/>
                <w:szCs w:val="24"/>
              </w:rPr>
            </w:pPr>
            <w:r>
              <w:rPr>
                <w:sz w:val="24"/>
                <w:szCs w:val="24"/>
              </w:rPr>
              <w:t>BS-2800M全自动生化分析仪可1分钟极速启动检测，将携带污染率控制在0.1ppm以下，可报告超精密的检测结果，提供血清指数低成本及关联提醒方案。系统内嵌独创的全景动态光测平台（PDR™技术），通过先进的传感技术与大数据运算技术，实现了全波长、全时段、全反应域并行和动态地收集数据，相比传统光测技术，结果运算的数据量扩充了1000倍。同时，系统通过信号模式识别与机器学习技术实现了数据间相互校验，保证反应过程中的每个点采集的数据都精准可靠。</w:t>
            </w:r>
          </w:p>
        </w:tc>
      </w:tr>
      <w:tr w14:paraId="59BDF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jc w:val="center"/>
        </w:trPr>
        <w:tc>
          <w:tcPr>
            <w:tcW w:w="1129" w:type="dxa"/>
            <w:shd w:val="clear" w:color="auto" w:fill="auto"/>
            <w:vAlign w:val="center"/>
          </w:tcPr>
          <w:p w14:paraId="71C46765">
            <w:pPr>
              <w:spacing w:before="0" w:after="0"/>
              <w:ind w:firstLine="0" w:firstLineChars="0"/>
              <w:jc w:val="center"/>
              <w:rPr>
                <w:color w:val="auto"/>
                <w:sz w:val="24"/>
                <w:szCs w:val="24"/>
              </w:rPr>
            </w:pPr>
            <w:r>
              <w:rPr>
                <w:color w:val="auto"/>
                <w:sz w:val="24"/>
                <w:szCs w:val="24"/>
              </w:rPr>
              <w:t>03</w:t>
            </w:r>
          </w:p>
        </w:tc>
        <w:tc>
          <w:tcPr>
            <w:tcW w:w="1418" w:type="dxa"/>
            <w:shd w:val="clear" w:color="auto" w:fill="auto"/>
            <w:vAlign w:val="center"/>
          </w:tcPr>
          <w:p w14:paraId="16BF7B9D">
            <w:pPr>
              <w:spacing w:before="0" w:after="0"/>
              <w:ind w:firstLine="0" w:firstLineChars="0"/>
              <w:jc w:val="left"/>
              <w:rPr>
                <w:sz w:val="24"/>
                <w:szCs w:val="24"/>
              </w:rPr>
            </w:pPr>
            <w:r>
              <w:rPr>
                <w:sz w:val="24"/>
                <w:szCs w:val="24"/>
              </w:rPr>
              <w:t>全自动血液细胞分析流水线系统</w:t>
            </w:r>
          </w:p>
        </w:tc>
        <w:tc>
          <w:tcPr>
            <w:tcW w:w="6757" w:type="dxa"/>
            <w:shd w:val="clear" w:color="auto" w:fill="auto"/>
            <w:vAlign w:val="center"/>
          </w:tcPr>
          <w:p w14:paraId="4AF5FB7E">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CAL 8000全自动样本处理系统与全自动血细胞分析仪、全自动推片染色机连接成血液细胞分析流水线，实现血液样本的自动调度与分配、运输、回收、异常样本自动智能复检。流水线可选择全自动血细胞分析仪、全自动推片机数量组合成不同测试速度的血细胞分析流水线。急诊样本可在装载平台快速插入，保证急诊样本得以优先、及时测试。提供机外试剂存储设备，可在不停止样本检测的情况下更换试剂。</w:t>
            </w:r>
          </w:p>
        </w:tc>
      </w:tr>
      <w:tr w14:paraId="346A1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9" w:hRule="atLeast"/>
          <w:jc w:val="center"/>
        </w:trPr>
        <w:tc>
          <w:tcPr>
            <w:tcW w:w="1129" w:type="dxa"/>
            <w:shd w:val="clear" w:color="auto" w:fill="auto"/>
            <w:vAlign w:val="center"/>
          </w:tcPr>
          <w:p w14:paraId="680EE17D">
            <w:pPr>
              <w:spacing w:before="0" w:after="0"/>
              <w:ind w:firstLine="0" w:firstLineChars="0"/>
              <w:jc w:val="center"/>
              <w:rPr>
                <w:color w:val="auto"/>
                <w:sz w:val="24"/>
                <w:szCs w:val="24"/>
              </w:rPr>
            </w:pPr>
            <w:r>
              <w:rPr>
                <w:color w:val="auto"/>
                <w:sz w:val="24"/>
                <w:szCs w:val="24"/>
              </w:rPr>
              <w:t>04</w:t>
            </w:r>
          </w:p>
        </w:tc>
        <w:tc>
          <w:tcPr>
            <w:tcW w:w="1418" w:type="dxa"/>
            <w:shd w:val="clear" w:color="auto" w:fill="auto"/>
            <w:vAlign w:val="center"/>
          </w:tcPr>
          <w:p w14:paraId="1DED53D3">
            <w:pPr>
              <w:spacing w:before="0" w:after="0"/>
              <w:ind w:firstLine="0" w:firstLineChars="0"/>
              <w:jc w:val="left"/>
              <w:rPr>
                <w:sz w:val="24"/>
                <w:szCs w:val="24"/>
              </w:rPr>
            </w:pPr>
            <w:r>
              <w:rPr>
                <w:sz w:val="24"/>
                <w:szCs w:val="24"/>
              </w:rPr>
              <w:t>全自动凝血分析流水线系统</w:t>
            </w:r>
          </w:p>
        </w:tc>
        <w:tc>
          <w:tcPr>
            <w:tcW w:w="6757" w:type="dxa"/>
            <w:shd w:val="clear" w:color="auto" w:fill="auto"/>
            <w:vAlign w:val="center"/>
          </w:tcPr>
          <w:p w14:paraId="34B59035">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CX-9000全自动凝血分析系统，基于定频恒速光测平台集合凝固法、发色底物法、免疫比浊法检测技术，与创新的联杯液体试剂配套使用，在临床上用于对血浆样本中的止血与溶血指标进行定量检测。分析系统根据凝血实验室检测场景及操作流程，突破创新。通过独创的定频恒速技术、多模态即热技术、试剂空中加油技术，实现了对样本TAT管理效率突破性的提升；通过独创的试剂性状及承载形式、智慧全面的信息管理系统，实现了对试剂性能、检测成本精益化的管理。</w:t>
            </w:r>
          </w:p>
        </w:tc>
      </w:tr>
      <w:tr w14:paraId="3EC7D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129" w:type="dxa"/>
            <w:shd w:val="clear" w:color="auto" w:fill="auto"/>
            <w:vAlign w:val="center"/>
          </w:tcPr>
          <w:p w14:paraId="64146B1B">
            <w:pPr>
              <w:spacing w:before="0" w:after="0"/>
              <w:ind w:firstLine="0" w:firstLineChars="0"/>
              <w:jc w:val="center"/>
              <w:rPr>
                <w:color w:val="auto"/>
                <w:sz w:val="24"/>
                <w:szCs w:val="24"/>
              </w:rPr>
            </w:pPr>
            <w:r>
              <w:rPr>
                <w:sz w:val="24"/>
                <w:szCs w:val="24"/>
              </w:rPr>
              <w:t>05</w:t>
            </w:r>
          </w:p>
        </w:tc>
        <w:tc>
          <w:tcPr>
            <w:tcW w:w="1418" w:type="dxa"/>
            <w:shd w:val="clear" w:color="auto" w:fill="auto"/>
            <w:vAlign w:val="center"/>
          </w:tcPr>
          <w:p w14:paraId="7E5DDFB1">
            <w:pPr>
              <w:spacing w:before="0" w:after="0"/>
              <w:ind w:firstLine="0" w:firstLineChars="0"/>
              <w:jc w:val="left"/>
              <w:rPr>
                <w:sz w:val="24"/>
                <w:szCs w:val="24"/>
              </w:rPr>
            </w:pPr>
            <w:r>
              <w:rPr>
                <w:sz w:val="24"/>
                <w:szCs w:val="24"/>
              </w:rPr>
              <w:t>全自动尿液分析流水线系统</w:t>
            </w:r>
          </w:p>
        </w:tc>
        <w:tc>
          <w:tcPr>
            <w:tcW w:w="6757" w:type="dxa"/>
            <w:shd w:val="clear" w:color="auto" w:fill="auto"/>
            <w:vAlign w:val="center"/>
          </w:tcPr>
          <w:p w14:paraId="725B974A">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EU 8600全自动尿液分析流水线是一款干化学与尿沉渣结果符合率极高的高性能流水线，可以大幅降低手工离心镜检率。多景深融合技术，拍摄单个视野细胞的时候，拍摄了多幅不同高度下的细胞图像，然后将每一层中细胞最清晰特征提取出来，融合形成一张高清的细胞图像；高速稳定运动控制平台，在将速度提升10倍的前提下，还将抖动幅度控制在100nm的水平。</w:t>
            </w:r>
          </w:p>
        </w:tc>
      </w:tr>
      <w:tr w14:paraId="38727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29" w:type="dxa"/>
            <w:shd w:val="clear" w:color="auto" w:fill="auto"/>
            <w:vAlign w:val="center"/>
          </w:tcPr>
          <w:p w14:paraId="1315BBFD">
            <w:pPr>
              <w:spacing w:before="0" w:after="0"/>
              <w:ind w:firstLine="0" w:firstLineChars="0"/>
              <w:jc w:val="center"/>
              <w:rPr>
                <w:color w:val="auto"/>
                <w:sz w:val="24"/>
                <w:szCs w:val="24"/>
              </w:rPr>
            </w:pPr>
            <w:r>
              <w:rPr>
                <w:sz w:val="24"/>
                <w:szCs w:val="24"/>
              </w:rPr>
              <w:t>06</w:t>
            </w:r>
          </w:p>
        </w:tc>
        <w:tc>
          <w:tcPr>
            <w:tcW w:w="1418" w:type="dxa"/>
            <w:shd w:val="clear" w:color="auto" w:fill="auto"/>
            <w:vAlign w:val="center"/>
          </w:tcPr>
          <w:p w14:paraId="43D9A231">
            <w:pPr>
              <w:spacing w:before="0" w:after="0"/>
              <w:ind w:firstLine="0" w:firstLineChars="0"/>
              <w:jc w:val="left"/>
              <w:rPr>
                <w:sz w:val="24"/>
                <w:szCs w:val="24"/>
              </w:rPr>
            </w:pPr>
            <w:r>
              <w:rPr>
                <w:sz w:val="24"/>
                <w:szCs w:val="24"/>
              </w:rPr>
              <w:t>全自动微生物鉴定药敏分析系统</w:t>
            </w:r>
          </w:p>
        </w:tc>
        <w:tc>
          <w:tcPr>
            <w:tcW w:w="6757" w:type="dxa"/>
            <w:shd w:val="clear" w:color="auto" w:fill="auto"/>
            <w:vAlign w:val="center"/>
          </w:tcPr>
          <w:p w14:paraId="3F303BCA">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AF-600全自动微生物鉴定药敏分析系统可容纳32/64个标本同时检测，随到随检；测试卡检测过程中自动动态判读、自动归集、自动自检。与其配套的药敏检测试剂盒如下：肠杆菌科细菌检测试剂盒 TDR ONE-96、非发酵菌检测试剂盒 TDR NF-96 、葡萄球菌检测试剂盒 TDR STAPH-96、链球菌科细菌检测试剂盒 TDR STR-96 、酵母样真菌检测试剂盒 TDR YEAST-96、奈瑟菌/嗜血杆菌检测试剂盒 TDR NH-96、棒状杆菌检测试剂盒 TDR CB-96、芽孢杆菌检测试剂盒 TDR BAC-96、弧菌科细菌检测试剂盒 TDR VIB-96、厌氧菌生化·药敏试验卡 TDR ANA-96、链球菌科细菌检测试剂盒 TDR STR-AST、酵母样真菌检测试剂盒 TDR YEAST-AST、奈瑟菌/嗜血杆菌检测试剂盒 TDR NH-AST</w:t>
            </w:r>
            <w:r>
              <w:rPr>
                <w:rFonts w:hint="eastAsia"/>
                <w:sz w:val="24"/>
                <w:szCs w:val="24"/>
              </w:rPr>
              <w:t>。</w:t>
            </w:r>
          </w:p>
        </w:tc>
      </w:tr>
      <w:tr w14:paraId="2553C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129" w:type="dxa"/>
            <w:shd w:val="clear" w:color="auto" w:fill="auto"/>
            <w:vAlign w:val="center"/>
          </w:tcPr>
          <w:p w14:paraId="1B2090E7">
            <w:pPr>
              <w:spacing w:before="0" w:after="0"/>
              <w:ind w:firstLine="0" w:firstLineChars="0"/>
              <w:jc w:val="center"/>
              <w:rPr>
                <w:sz w:val="24"/>
                <w:szCs w:val="24"/>
              </w:rPr>
            </w:pPr>
          </w:p>
        </w:tc>
        <w:tc>
          <w:tcPr>
            <w:tcW w:w="1418" w:type="dxa"/>
            <w:shd w:val="clear" w:color="auto" w:fill="auto"/>
            <w:vAlign w:val="center"/>
          </w:tcPr>
          <w:p w14:paraId="4B63AE6E">
            <w:pPr>
              <w:spacing w:before="0" w:after="0"/>
              <w:ind w:firstLine="0" w:firstLineChars="0"/>
              <w:jc w:val="left"/>
              <w:rPr>
                <w:sz w:val="24"/>
                <w:szCs w:val="24"/>
              </w:rPr>
            </w:pPr>
            <w:r>
              <w:rPr>
                <w:sz w:val="24"/>
                <w:szCs w:val="24"/>
              </w:rPr>
              <w:t>全自动核酸提纯及实时荧光 PCR 分析系统</w:t>
            </w:r>
          </w:p>
        </w:tc>
        <w:tc>
          <w:tcPr>
            <w:tcW w:w="6757" w:type="dxa"/>
            <w:shd w:val="clear" w:color="auto" w:fill="auto"/>
            <w:vAlign w:val="center"/>
          </w:tcPr>
          <w:p w14:paraId="4A279ADC">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MN2880采用金标的</w:t>
            </w:r>
            <w:r>
              <w:rPr>
                <w:rFonts w:hint="eastAsia"/>
                <w:sz w:val="24"/>
                <w:szCs w:val="24"/>
                <w:lang w:eastAsia="zh-CN"/>
              </w:rPr>
              <w:t>“</w:t>
            </w:r>
            <w:r>
              <w:rPr>
                <w:sz w:val="24"/>
                <w:szCs w:val="24"/>
              </w:rPr>
              <w:t>磁珠法核酸提取+实时荧光定量PCR</w:t>
            </w:r>
            <w:r>
              <w:rPr>
                <w:rFonts w:hint="eastAsia"/>
                <w:sz w:val="24"/>
                <w:szCs w:val="24"/>
                <w:lang w:eastAsia="zh-CN"/>
              </w:rPr>
              <w:t>”</w:t>
            </w:r>
            <w:r>
              <w:rPr>
                <w:sz w:val="24"/>
                <w:szCs w:val="24"/>
              </w:rPr>
              <w:t>方法，在保证高性能的同时，也能以极快的速度完成单个样本的检测；核酸检测首样38.5min出结果，随后一分钟出一个结果</w:t>
            </w:r>
            <w:r>
              <w:rPr>
                <w:rFonts w:hint="eastAsia"/>
                <w:sz w:val="24"/>
                <w:szCs w:val="24"/>
              </w:rPr>
              <w:t>。</w:t>
            </w:r>
            <w:r>
              <w:rPr>
                <w:sz w:val="24"/>
                <w:szCs w:val="24"/>
              </w:rPr>
              <w:t>在呼吸道门急诊快速检测中，8小时可产出480个呼吸道核酸检测结果</w:t>
            </w:r>
            <w:r>
              <w:rPr>
                <w:rFonts w:hint="eastAsia"/>
                <w:sz w:val="24"/>
                <w:szCs w:val="24"/>
              </w:rPr>
              <w:t>。</w:t>
            </w:r>
            <w:r>
              <w:rPr>
                <w:sz w:val="24"/>
                <w:szCs w:val="24"/>
              </w:rPr>
              <w:t>迈瑞HBV DNA高敏病毒载量试剂，使用4条扩增引物，选择Pre-core/core区作为检测靶标，对A-H型均高度保守，</w:t>
            </w:r>
            <w:r>
              <w:rPr>
                <w:rFonts w:hint="eastAsia"/>
                <w:sz w:val="24"/>
                <w:szCs w:val="24"/>
              </w:rPr>
              <w:t>有效</w:t>
            </w:r>
            <w:r>
              <w:rPr>
                <w:sz w:val="24"/>
                <w:szCs w:val="24"/>
              </w:rPr>
              <w:t>避免HBV基因常见突变导致的漏检。</w:t>
            </w:r>
          </w:p>
          <w:p w14:paraId="6C6CCF26">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rFonts w:hint="eastAsia"/>
                <w:sz w:val="24"/>
                <w:szCs w:val="24"/>
              </w:rPr>
              <w:t>试剂包含：</w:t>
            </w:r>
            <w:r>
              <w:rPr>
                <w:sz w:val="24"/>
                <w:szCs w:val="24"/>
              </w:rPr>
              <w:t>新型冠状病毒2019-nCoV/甲型流感病毒/乙型流感病毒/ 呼吸道合胞病毒核酸检测试剂盒</w:t>
            </w:r>
            <w:r>
              <w:rPr>
                <w:rFonts w:hint="eastAsia"/>
                <w:sz w:val="24"/>
                <w:szCs w:val="24"/>
              </w:rPr>
              <w:t>，</w:t>
            </w:r>
            <w:r>
              <w:rPr>
                <w:sz w:val="24"/>
                <w:szCs w:val="24"/>
              </w:rPr>
              <w:t>肺炎支原体/腺病毒/副流感病毒/鼻病毒核酸检测试剂盒</w:t>
            </w:r>
            <w:r>
              <w:rPr>
                <w:rFonts w:hint="eastAsia"/>
                <w:sz w:val="24"/>
                <w:szCs w:val="24"/>
              </w:rPr>
              <w:t>、乙型肝炎病毒（HBV），丙型肝炎病毒（HCV）核酸检测试剂盒。</w:t>
            </w:r>
          </w:p>
        </w:tc>
      </w:tr>
      <w:tr w14:paraId="32AA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129" w:type="dxa"/>
            <w:shd w:val="clear" w:color="auto" w:fill="auto"/>
            <w:vAlign w:val="center"/>
          </w:tcPr>
          <w:p w14:paraId="1B0D1783">
            <w:pPr>
              <w:spacing w:before="0" w:after="0"/>
              <w:ind w:firstLine="0" w:firstLineChars="0"/>
              <w:jc w:val="center"/>
              <w:rPr>
                <w:color w:val="auto"/>
                <w:sz w:val="24"/>
                <w:szCs w:val="24"/>
              </w:rPr>
            </w:pPr>
            <w:r>
              <w:rPr>
                <w:color w:val="auto"/>
                <w:sz w:val="24"/>
                <w:szCs w:val="24"/>
              </w:rPr>
              <w:t>07</w:t>
            </w:r>
          </w:p>
        </w:tc>
        <w:tc>
          <w:tcPr>
            <w:tcW w:w="1418" w:type="dxa"/>
            <w:shd w:val="clear" w:color="auto" w:fill="auto"/>
            <w:vAlign w:val="center"/>
          </w:tcPr>
          <w:p w14:paraId="604BC4F8">
            <w:pPr>
              <w:spacing w:before="0" w:after="0"/>
              <w:ind w:firstLine="0" w:firstLineChars="0"/>
              <w:jc w:val="left"/>
              <w:rPr>
                <w:sz w:val="24"/>
                <w:szCs w:val="24"/>
              </w:rPr>
            </w:pPr>
            <w:r>
              <w:rPr>
                <w:sz w:val="24"/>
                <w:szCs w:val="24"/>
              </w:rPr>
              <w:t>发光-肿瘤标志物检测</w:t>
            </w:r>
          </w:p>
        </w:tc>
        <w:tc>
          <w:tcPr>
            <w:tcW w:w="6757" w:type="dxa"/>
            <w:shd w:val="clear" w:color="auto" w:fill="auto"/>
          </w:tcPr>
          <w:p w14:paraId="55D049C4">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包括CA19-9、ProGRP、CA242、AFP、CEA、CA125、CA153、TPSA、FPSA、FERR、CA724、NSE、Cyfra21-1、PGI、PGII、CA50、SCCA、HE4有助于肺癌、胃肠恶性肿瘤、卵巢癌等的诊断、鉴别诊断及还可用于病程评估、预后判断和转移复发监测。</w:t>
            </w:r>
          </w:p>
        </w:tc>
      </w:tr>
      <w:tr w14:paraId="3AB77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129" w:type="dxa"/>
            <w:shd w:val="clear" w:color="auto" w:fill="auto"/>
            <w:vAlign w:val="center"/>
          </w:tcPr>
          <w:p w14:paraId="5B635C81">
            <w:pPr>
              <w:spacing w:before="0" w:after="0"/>
              <w:ind w:firstLine="0" w:firstLineChars="0"/>
              <w:jc w:val="center"/>
              <w:rPr>
                <w:color w:val="auto"/>
                <w:sz w:val="24"/>
                <w:szCs w:val="24"/>
              </w:rPr>
            </w:pPr>
            <w:r>
              <w:rPr>
                <w:color w:val="auto"/>
                <w:sz w:val="24"/>
                <w:szCs w:val="24"/>
              </w:rPr>
              <w:t>08</w:t>
            </w:r>
          </w:p>
        </w:tc>
        <w:tc>
          <w:tcPr>
            <w:tcW w:w="1418" w:type="dxa"/>
            <w:shd w:val="clear" w:color="auto" w:fill="auto"/>
            <w:vAlign w:val="center"/>
          </w:tcPr>
          <w:p w14:paraId="0DE09B88">
            <w:pPr>
              <w:spacing w:before="0" w:after="0"/>
              <w:ind w:firstLine="0" w:firstLineChars="0"/>
              <w:jc w:val="left"/>
              <w:rPr>
                <w:sz w:val="24"/>
                <w:szCs w:val="24"/>
              </w:rPr>
            </w:pPr>
            <w:r>
              <w:rPr>
                <w:sz w:val="24"/>
                <w:szCs w:val="24"/>
              </w:rPr>
              <w:t>发光-甲状腺功能检测</w:t>
            </w:r>
          </w:p>
        </w:tc>
        <w:tc>
          <w:tcPr>
            <w:tcW w:w="6757" w:type="dxa"/>
            <w:shd w:val="clear" w:color="auto" w:fill="auto"/>
          </w:tcPr>
          <w:p w14:paraId="7CBB5BA3">
            <w:pPr>
              <w:keepNext w:val="0"/>
              <w:keepLines w:val="0"/>
              <w:pageBreakBefore w:val="0"/>
              <w:widowControl/>
              <w:shd w:val="clear" w:color="auto" w:fill="FFFFFF"/>
              <w:kinsoku/>
              <w:wordWrap/>
              <w:overflowPunct/>
              <w:topLinePunct w:val="0"/>
              <w:autoSpaceDE/>
              <w:autoSpaceDN/>
              <w:bidi w:val="0"/>
              <w:adjustRightInd/>
              <w:snapToGrid/>
              <w:spacing w:before="0" w:after="180"/>
              <w:ind w:firstLine="480" w:firstLineChars="200"/>
              <w:jc w:val="left"/>
              <w:textAlignment w:val="auto"/>
              <w:rPr>
                <w:sz w:val="24"/>
                <w:szCs w:val="24"/>
              </w:rPr>
            </w:pPr>
            <w:r>
              <w:rPr>
                <w:sz w:val="24"/>
                <w:szCs w:val="24"/>
              </w:rPr>
              <w:t>包括项目：TSH、T3、T4、FT3、FT4、rT3、TPOAb、TgAb、TRAb、Tg，主要用于甲状腺相关疾病诊断、治疗监测等。</w:t>
            </w:r>
          </w:p>
        </w:tc>
      </w:tr>
      <w:tr w14:paraId="1DDCA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129" w:type="dxa"/>
            <w:shd w:val="clear" w:color="auto" w:fill="auto"/>
            <w:vAlign w:val="center"/>
          </w:tcPr>
          <w:p w14:paraId="2B105359">
            <w:pPr>
              <w:spacing w:before="0" w:after="0"/>
              <w:ind w:firstLine="0" w:firstLineChars="0"/>
              <w:jc w:val="center"/>
              <w:rPr>
                <w:color w:val="auto"/>
                <w:sz w:val="24"/>
                <w:szCs w:val="24"/>
              </w:rPr>
            </w:pPr>
            <w:r>
              <w:rPr>
                <w:color w:val="auto"/>
                <w:sz w:val="24"/>
                <w:szCs w:val="24"/>
              </w:rPr>
              <w:t>09</w:t>
            </w:r>
          </w:p>
        </w:tc>
        <w:tc>
          <w:tcPr>
            <w:tcW w:w="1418" w:type="dxa"/>
            <w:shd w:val="clear" w:color="auto" w:fill="auto"/>
            <w:vAlign w:val="center"/>
          </w:tcPr>
          <w:p w14:paraId="2C5A48B6">
            <w:pPr>
              <w:spacing w:before="0" w:after="0"/>
              <w:ind w:firstLine="0" w:firstLineChars="0"/>
              <w:jc w:val="left"/>
              <w:rPr>
                <w:sz w:val="24"/>
                <w:szCs w:val="24"/>
              </w:rPr>
            </w:pPr>
            <w:r>
              <w:rPr>
                <w:sz w:val="24"/>
                <w:szCs w:val="24"/>
              </w:rPr>
              <w:t>发光-传染性疾病检测</w:t>
            </w:r>
          </w:p>
        </w:tc>
        <w:tc>
          <w:tcPr>
            <w:tcW w:w="6757" w:type="dxa"/>
            <w:shd w:val="clear" w:color="auto" w:fill="auto"/>
          </w:tcPr>
          <w:p w14:paraId="1EA43D9E">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包括项目：HBsAg、Anti-HBs、HBeAg、Q-HBeAg、Anti-HBe、Q-Anti-HBe、Anti-HBc、Q-Anti-HBc、HIV Ag/Ab、Anti-HCV、Anti-TP,临床上可用于对乙型肝炎病毒、艾滋病毒、梅毒、丙型肝炎病毒感染疾病的诊断、病程评估、治疗监测和预后判断。</w:t>
            </w:r>
          </w:p>
        </w:tc>
      </w:tr>
      <w:tr w14:paraId="76B06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129" w:type="dxa"/>
            <w:shd w:val="clear" w:color="auto" w:fill="auto"/>
            <w:vAlign w:val="center"/>
          </w:tcPr>
          <w:p w14:paraId="34C6D854">
            <w:pPr>
              <w:spacing w:before="0" w:after="0"/>
              <w:ind w:firstLine="0" w:firstLineChars="0"/>
              <w:jc w:val="center"/>
              <w:rPr>
                <w:sz w:val="24"/>
                <w:szCs w:val="24"/>
              </w:rPr>
            </w:pPr>
            <w:r>
              <w:rPr>
                <w:color w:val="auto"/>
                <w:sz w:val="24"/>
                <w:szCs w:val="24"/>
              </w:rPr>
              <w:t>10</w:t>
            </w:r>
          </w:p>
        </w:tc>
        <w:tc>
          <w:tcPr>
            <w:tcW w:w="1418" w:type="dxa"/>
            <w:shd w:val="clear" w:color="auto" w:fill="auto"/>
            <w:vAlign w:val="center"/>
          </w:tcPr>
          <w:p w14:paraId="4B65CF67">
            <w:pPr>
              <w:spacing w:before="0" w:after="0"/>
              <w:ind w:firstLine="0" w:firstLineChars="0"/>
              <w:jc w:val="left"/>
              <w:rPr>
                <w:sz w:val="24"/>
                <w:szCs w:val="24"/>
              </w:rPr>
            </w:pPr>
            <w:r>
              <w:rPr>
                <w:sz w:val="24"/>
                <w:szCs w:val="24"/>
              </w:rPr>
              <w:t>发光-甲状旁腺检测</w:t>
            </w:r>
          </w:p>
        </w:tc>
        <w:tc>
          <w:tcPr>
            <w:tcW w:w="6757" w:type="dxa"/>
            <w:shd w:val="clear" w:color="auto" w:fill="auto"/>
          </w:tcPr>
          <w:p w14:paraId="1BD287CC">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包括项目：CT和PTH，两者联合使用可协助判断甲旁亢/减导致的高钙血或低钙血症的骨代谢失衡；同时也是老年骨质疏松及甲状腺髓样癌的特殊标志物，可辅助病情监测和疗效评估。</w:t>
            </w:r>
          </w:p>
        </w:tc>
      </w:tr>
      <w:tr w14:paraId="65201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129" w:type="dxa"/>
            <w:shd w:val="clear" w:color="auto" w:fill="auto"/>
            <w:vAlign w:val="center"/>
          </w:tcPr>
          <w:p w14:paraId="696E89DB">
            <w:pPr>
              <w:spacing w:before="0" w:after="0"/>
              <w:ind w:firstLine="0" w:firstLineChars="0"/>
              <w:jc w:val="center"/>
              <w:rPr>
                <w:sz w:val="24"/>
                <w:szCs w:val="24"/>
              </w:rPr>
            </w:pPr>
            <w:r>
              <w:rPr>
                <w:color w:val="auto"/>
                <w:sz w:val="24"/>
                <w:szCs w:val="24"/>
              </w:rPr>
              <w:t>11</w:t>
            </w:r>
          </w:p>
        </w:tc>
        <w:tc>
          <w:tcPr>
            <w:tcW w:w="1418" w:type="dxa"/>
            <w:shd w:val="clear" w:color="auto" w:fill="auto"/>
            <w:vAlign w:val="center"/>
          </w:tcPr>
          <w:p w14:paraId="50AB7831">
            <w:pPr>
              <w:spacing w:before="0" w:after="0"/>
              <w:ind w:firstLine="0" w:firstLineChars="0"/>
              <w:jc w:val="left"/>
              <w:rPr>
                <w:sz w:val="24"/>
                <w:szCs w:val="24"/>
              </w:rPr>
            </w:pPr>
            <w:r>
              <w:rPr>
                <w:sz w:val="24"/>
                <w:szCs w:val="24"/>
              </w:rPr>
              <w:t>发光-激素检测</w:t>
            </w:r>
          </w:p>
        </w:tc>
        <w:tc>
          <w:tcPr>
            <w:tcW w:w="6757" w:type="dxa"/>
            <w:shd w:val="clear" w:color="auto" w:fill="auto"/>
          </w:tcPr>
          <w:p w14:paraId="5D2EBD46">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项目：FSH、LH、PRL、E2、Testo、Prog、GH、IGF-1、总βHCG、AMH、ACTH。临床上可检测相关项目用于辅助诊断女性性早熟、男性性早熟、卵巢发育不全、不孕不育、高泌乳素血症、功血、矮小症、多囊性卵巢综合征、垂体性疾病等，并用于疗效监测。</w:t>
            </w:r>
          </w:p>
        </w:tc>
      </w:tr>
      <w:tr w14:paraId="054FF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29" w:type="dxa"/>
            <w:shd w:val="clear" w:color="auto" w:fill="auto"/>
            <w:vAlign w:val="center"/>
          </w:tcPr>
          <w:p w14:paraId="1C68B2AF">
            <w:pPr>
              <w:spacing w:before="0" w:after="0"/>
              <w:ind w:firstLine="0" w:firstLineChars="0"/>
              <w:jc w:val="center"/>
              <w:rPr>
                <w:sz w:val="24"/>
                <w:szCs w:val="24"/>
              </w:rPr>
            </w:pPr>
            <w:r>
              <w:rPr>
                <w:color w:val="auto"/>
                <w:sz w:val="24"/>
                <w:szCs w:val="24"/>
              </w:rPr>
              <w:t>12</w:t>
            </w:r>
          </w:p>
        </w:tc>
        <w:tc>
          <w:tcPr>
            <w:tcW w:w="1418" w:type="dxa"/>
            <w:shd w:val="clear" w:color="auto" w:fill="auto"/>
            <w:vAlign w:val="center"/>
          </w:tcPr>
          <w:p w14:paraId="779B9A58">
            <w:pPr>
              <w:spacing w:before="0" w:after="0"/>
              <w:ind w:firstLine="0" w:firstLineChars="0"/>
              <w:jc w:val="left"/>
              <w:rPr>
                <w:sz w:val="24"/>
                <w:szCs w:val="24"/>
              </w:rPr>
            </w:pPr>
            <w:r>
              <w:rPr>
                <w:sz w:val="24"/>
                <w:szCs w:val="24"/>
              </w:rPr>
              <w:t>发光-心脏标志物检测</w:t>
            </w:r>
          </w:p>
        </w:tc>
        <w:tc>
          <w:tcPr>
            <w:tcW w:w="6757" w:type="dxa"/>
            <w:shd w:val="clear" w:color="auto" w:fill="auto"/>
          </w:tcPr>
          <w:p w14:paraId="277D19B5">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包括项目：hs-cTnI/cTn、CK-MB、MYO、BNP/NT-pro-BNP，这些指标主要用于心肌损伤如心肌梗死、心肌炎、心包炎等疾病的诊断、临床治疗监测等。</w:t>
            </w:r>
          </w:p>
        </w:tc>
      </w:tr>
      <w:tr w14:paraId="4F53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129" w:type="dxa"/>
            <w:shd w:val="clear" w:color="auto" w:fill="auto"/>
            <w:vAlign w:val="center"/>
          </w:tcPr>
          <w:p w14:paraId="6713DF84">
            <w:pPr>
              <w:spacing w:before="0" w:after="0"/>
              <w:ind w:firstLine="0" w:firstLineChars="0"/>
              <w:jc w:val="center"/>
              <w:rPr>
                <w:sz w:val="24"/>
                <w:szCs w:val="24"/>
              </w:rPr>
            </w:pPr>
            <w:r>
              <w:rPr>
                <w:color w:val="auto"/>
                <w:sz w:val="24"/>
                <w:szCs w:val="24"/>
              </w:rPr>
              <w:t>13</w:t>
            </w:r>
          </w:p>
        </w:tc>
        <w:tc>
          <w:tcPr>
            <w:tcW w:w="1418" w:type="dxa"/>
            <w:shd w:val="clear" w:color="auto" w:fill="auto"/>
            <w:vAlign w:val="center"/>
          </w:tcPr>
          <w:p w14:paraId="0072B355">
            <w:pPr>
              <w:spacing w:before="0" w:after="0"/>
              <w:ind w:firstLine="0" w:firstLineChars="0"/>
              <w:jc w:val="left"/>
              <w:rPr>
                <w:sz w:val="24"/>
                <w:szCs w:val="24"/>
              </w:rPr>
            </w:pPr>
            <w:r>
              <w:rPr>
                <w:sz w:val="24"/>
                <w:szCs w:val="24"/>
              </w:rPr>
              <w:t>发光-感染标志物检测</w:t>
            </w:r>
          </w:p>
        </w:tc>
        <w:tc>
          <w:tcPr>
            <w:tcW w:w="6757" w:type="dxa"/>
            <w:shd w:val="clear" w:color="auto" w:fill="auto"/>
          </w:tcPr>
          <w:p w14:paraId="4B567854">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包括项目：PCT、IL-6。感染标志物检测对感染诊断、脓毒症预警、治疗方案指导、疗效及预后评估具有重要临床价值。</w:t>
            </w:r>
          </w:p>
        </w:tc>
      </w:tr>
      <w:tr w14:paraId="7CB6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jc w:val="center"/>
        </w:trPr>
        <w:tc>
          <w:tcPr>
            <w:tcW w:w="1129" w:type="dxa"/>
            <w:shd w:val="clear" w:color="auto" w:fill="auto"/>
            <w:vAlign w:val="center"/>
          </w:tcPr>
          <w:p w14:paraId="404EDE5E">
            <w:pPr>
              <w:spacing w:before="0" w:after="0"/>
              <w:ind w:firstLine="0" w:firstLineChars="0"/>
              <w:jc w:val="center"/>
              <w:rPr>
                <w:sz w:val="24"/>
                <w:szCs w:val="24"/>
              </w:rPr>
            </w:pPr>
            <w:r>
              <w:rPr>
                <w:color w:val="auto"/>
                <w:sz w:val="24"/>
                <w:szCs w:val="24"/>
              </w:rPr>
              <w:t>14</w:t>
            </w:r>
          </w:p>
        </w:tc>
        <w:tc>
          <w:tcPr>
            <w:tcW w:w="1418" w:type="dxa"/>
            <w:shd w:val="clear" w:color="auto" w:fill="auto"/>
            <w:vAlign w:val="center"/>
          </w:tcPr>
          <w:p w14:paraId="2CB5873A">
            <w:pPr>
              <w:spacing w:before="0" w:after="0"/>
              <w:ind w:firstLine="0" w:firstLineChars="0"/>
              <w:jc w:val="left"/>
              <w:rPr>
                <w:sz w:val="24"/>
                <w:szCs w:val="24"/>
              </w:rPr>
            </w:pPr>
            <w:r>
              <w:rPr>
                <w:sz w:val="24"/>
                <w:szCs w:val="24"/>
              </w:rPr>
              <w:t>凝血-凝血七项检测</w:t>
            </w:r>
          </w:p>
        </w:tc>
        <w:tc>
          <w:tcPr>
            <w:tcW w:w="6757" w:type="dxa"/>
            <w:shd w:val="clear" w:color="auto" w:fill="auto"/>
          </w:tcPr>
          <w:p w14:paraId="4B11960F">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包括项目：</w:t>
            </w:r>
            <w:r>
              <w:rPr>
                <w:iCs w:val="0"/>
                <w:sz w:val="24"/>
                <w:szCs w:val="24"/>
              </w:rPr>
              <w:t>PT</w:t>
            </w:r>
            <w:r>
              <w:rPr>
                <w:sz w:val="24"/>
                <w:szCs w:val="24"/>
              </w:rPr>
              <w:t>、</w:t>
            </w:r>
            <w:r>
              <w:rPr>
                <w:iCs w:val="0"/>
                <w:sz w:val="24"/>
                <w:szCs w:val="24"/>
              </w:rPr>
              <w:t>APTT</w:t>
            </w:r>
            <w:r>
              <w:rPr>
                <w:sz w:val="24"/>
                <w:szCs w:val="24"/>
              </w:rPr>
              <w:t>、</w:t>
            </w:r>
            <w:r>
              <w:rPr>
                <w:iCs w:val="0"/>
                <w:sz w:val="24"/>
                <w:szCs w:val="24"/>
              </w:rPr>
              <w:t>FIB</w:t>
            </w:r>
            <w:r>
              <w:rPr>
                <w:sz w:val="24"/>
                <w:szCs w:val="24"/>
              </w:rPr>
              <w:t>、</w:t>
            </w:r>
            <w:r>
              <w:rPr>
                <w:iCs w:val="0"/>
                <w:sz w:val="24"/>
                <w:szCs w:val="24"/>
              </w:rPr>
              <w:t>TT</w:t>
            </w:r>
            <w:r>
              <w:rPr>
                <w:sz w:val="24"/>
                <w:szCs w:val="24"/>
              </w:rPr>
              <w:t>、</w:t>
            </w:r>
            <w:r>
              <w:rPr>
                <w:iCs w:val="0"/>
                <w:sz w:val="24"/>
                <w:szCs w:val="24"/>
              </w:rPr>
              <w:t>D-二聚体</w:t>
            </w:r>
            <w:r>
              <w:rPr>
                <w:sz w:val="24"/>
                <w:szCs w:val="24"/>
              </w:rPr>
              <w:t>、</w:t>
            </w:r>
            <w:r>
              <w:rPr>
                <w:iCs w:val="0"/>
                <w:sz w:val="24"/>
                <w:szCs w:val="24"/>
              </w:rPr>
              <w:t>FDP</w:t>
            </w:r>
            <w:r>
              <w:rPr>
                <w:sz w:val="24"/>
                <w:szCs w:val="24"/>
              </w:rPr>
              <w:t>、</w:t>
            </w:r>
            <w:r>
              <w:rPr>
                <w:iCs w:val="0"/>
                <w:sz w:val="24"/>
                <w:szCs w:val="24"/>
              </w:rPr>
              <w:t>ATⅢ。可用于凝血障碍性疾病的初步诊断、抗凝药物的监测以及术前常规凝血功能的评估等。</w:t>
            </w:r>
          </w:p>
        </w:tc>
      </w:tr>
      <w:tr w14:paraId="532BC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4B4199A">
            <w:pPr>
              <w:spacing w:before="0" w:after="0"/>
              <w:ind w:firstLine="0" w:firstLineChars="0"/>
              <w:jc w:val="center"/>
              <w:rPr>
                <w:sz w:val="24"/>
                <w:szCs w:val="24"/>
              </w:rPr>
            </w:pPr>
            <w:r>
              <w:rPr>
                <w:color w:val="auto"/>
                <w:sz w:val="24"/>
                <w:szCs w:val="24"/>
              </w:rPr>
              <w:t>15</w:t>
            </w:r>
          </w:p>
        </w:tc>
        <w:tc>
          <w:tcPr>
            <w:tcW w:w="1418" w:type="dxa"/>
            <w:shd w:val="clear" w:color="auto" w:fill="auto"/>
            <w:vAlign w:val="center"/>
          </w:tcPr>
          <w:p w14:paraId="0C46D1A3">
            <w:pPr>
              <w:spacing w:before="0" w:after="0"/>
              <w:ind w:firstLine="0" w:firstLineChars="0"/>
              <w:jc w:val="left"/>
              <w:rPr>
                <w:sz w:val="24"/>
                <w:szCs w:val="24"/>
              </w:rPr>
            </w:pPr>
            <w:r>
              <w:rPr>
                <w:sz w:val="24"/>
                <w:szCs w:val="24"/>
              </w:rPr>
              <w:t>生化-血脂检测</w:t>
            </w:r>
          </w:p>
        </w:tc>
        <w:tc>
          <w:tcPr>
            <w:tcW w:w="6757" w:type="dxa"/>
            <w:shd w:val="clear" w:color="auto" w:fill="auto"/>
          </w:tcPr>
          <w:p w14:paraId="13E4FF88">
            <w:pPr>
              <w:keepNext w:val="0"/>
              <w:keepLines w:val="0"/>
              <w:pageBreakBefore w:val="0"/>
              <w:widowControl/>
              <w:tabs>
                <w:tab w:val="left" w:pos="1283"/>
              </w:tabs>
              <w:kinsoku/>
              <w:wordWrap/>
              <w:overflowPunct/>
              <w:topLinePunct w:val="0"/>
              <w:autoSpaceDE/>
              <w:autoSpaceDN/>
              <w:bidi w:val="0"/>
              <w:adjustRightInd/>
              <w:snapToGrid/>
              <w:ind w:firstLine="480" w:firstLineChars="200"/>
              <w:jc w:val="left"/>
              <w:textAlignment w:val="auto"/>
              <w:rPr>
                <w:sz w:val="24"/>
                <w:szCs w:val="24"/>
              </w:rPr>
            </w:pPr>
            <w:r>
              <w:rPr>
                <w:sz w:val="24"/>
                <w:szCs w:val="24"/>
              </w:rPr>
              <w:t>包括项目：TC、TG、HDL-C、LDL-C、ApoA1、ApoB、Lp(a)Ⅱ、sd LDL-C、HCY，通过检测血浆中的血脂指标，有助于动脉硬化、高血脂、冠心病及肾病综合征等疾病的风险评估和诊断。</w:t>
            </w:r>
          </w:p>
        </w:tc>
      </w:tr>
      <w:tr w14:paraId="4A463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51DACC83">
            <w:pPr>
              <w:spacing w:before="0" w:after="0"/>
              <w:ind w:firstLine="0" w:firstLineChars="0"/>
              <w:jc w:val="center"/>
              <w:rPr>
                <w:sz w:val="24"/>
                <w:szCs w:val="24"/>
              </w:rPr>
            </w:pPr>
            <w:r>
              <w:rPr>
                <w:color w:val="auto"/>
                <w:sz w:val="24"/>
                <w:szCs w:val="24"/>
              </w:rPr>
              <w:t>16</w:t>
            </w:r>
          </w:p>
        </w:tc>
        <w:tc>
          <w:tcPr>
            <w:tcW w:w="1418" w:type="dxa"/>
            <w:shd w:val="clear" w:color="auto" w:fill="auto"/>
            <w:vAlign w:val="center"/>
          </w:tcPr>
          <w:p w14:paraId="51E491BC">
            <w:pPr>
              <w:spacing w:before="0" w:after="0"/>
              <w:ind w:firstLine="0" w:firstLineChars="0"/>
              <w:jc w:val="left"/>
              <w:rPr>
                <w:sz w:val="24"/>
                <w:szCs w:val="24"/>
              </w:rPr>
            </w:pPr>
            <w:r>
              <w:rPr>
                <w:sz w:val="24"/>
                <w:szCs w:val="24"/>
              </w:rPr>
              <w:t>生化-肾功能检测</w:t>
            </w:r>
          </w:p>
        </w:tc>
        <w:tc>
          <w:tcPr>
            <w:tcW w:w="6757" w:type="dxa"/>
            <w:shd w:val="clear" w:color="auto" w:fill="auto"/>
          </w:tcPr>
          <w:p w14:paraId="48B7B276">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包括项目：UA、UREA、CO2、CysCII、β2-mG II、MALB、RBP等指标，临床上主要用于急慢性肾损伤疾病的诊断、治疗监测、预后判断。</w:t>
            </w:r>
          </w:p>
        </w:tc>
      </w:tr>
      <w:tr w14:paraId="302C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2F45158">
            <w:pPr>
              <w:spacing w:before="0" w:after="0"/>
              <w:ind w:firstLine="0" w:firstLineChars="0"/>
              <w:jc w:val="center"/>
              <w:rPr>
                <w:sz w:val="24"/>
                <w:szCs w:val="24"/>
              </w:rPr>
            </w:pPr>
            <w:r>
              <w:rPr>
                <w:color w:val="auto"/>
                <w:sz w:val="24"/>
                <w:szCs w:val="24"/>
              </w:rPr>
              <w:t>17</w:t>
            </w:r>
          </w:p>
        </w:tc>
        <w:tc>
          <w:tcPr>
            <w:tcW w:w="1418" w:type="dxa"/>
            <w:shd w:val="clear" w:color="auto" w:fill="auto"/>
            <w:vAlign w:val="center"/>
          </w:tcPr>
          <w:p w14:paraId="71E14175">
            <w:pPr>
              <w:spacing w:before="0" w:after="0"/>
              <w:ind w:firstLine="0" w:firstLineChars="0"/>
              <w:jc w:val="left"/>
              <w:rPr>
                <w:sz w:val="24"/>
                <w:szCs w:val="24"/>
              </w:rPr>
            </w:pPr>
            <w:r>
              <w:rPr>
                <w:sz w:val="24"/>
                <w:szCs w:val="24"/>
              </w:rPr>
              <w:t>PDR技术</w:t>
            </w:r>
          </w:p>
        </w:tc>
        <w:tc>
          <w:tcPr>
            <w:tcW w:w="6757" w:type="dxa"/>
            <w:shd w:val="clear" w:color="auto" w:fill="auto"/>
          </w:tcPr>
          <w:p w14:paraId="699910F4">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通过反应杯全区域、全波长、全时段、实时动态光测采集，一个周期形成上万个光测数据，整个反应周期内可以生成42万个光测数据，通过对大数据整合分析，可以敏锐探测到反应过程中的各类细微干扰和异常，及时识别报警和自动重测。</w:t>
            </w:r>
          </w:p>
        </w:tc>
      </w:tr>
      <w:tr w14:paraId="50B78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2C398D71">
            <w:pPr>
              <w:spacing w:before="0" w:after="0"/>
              <w:ind w:firstLine="0" w:firstLineChars="0"/>
              <w:jc w:val="center"/>
              <w:rPr>
                <w:sz w:val="24"/>
                <w:szCs w:val="24"/>
              </w:rPr>
            </w:pPr>
            <w:r>
              <w:rPr>
                <w:color w:val="auto"/>
                <w:sz w:val="24"/>
                <w:szCs w:val="24"/>
              </w:rPr>
              <w:t>18</w:t>
            </w:r>
          </w:p>
        </w:tc>
        <w:tc>
          <w:tcPr>
            <w:tcW w:w="1418" w:type="dxa"/>
            <w:shd w:val="clear" w:color="auto" w:fill="auto"/>
            <w:vAlign w:val="center"/>
          </w:tcPr>
          <w:p w14:paraId="36F3FE4B">
            <w:pPr>
              <w:spacing w:before="0" w:after="0"/>
              <w:ind w:firstLine="0" w:firstLineChars="0"/>
              <w:jc w:val="left"/>
              <w:rPr>
                <w:sz w:val="24"/>
                <w:szCs w:val="24"/>
              </w:rPr>
            </w:pPr>
            <w:r>
              <w:rPr>
                <w:sz w:val="24"/>
                <w:szCs w:val="24"/>
              </w:rPr>
              <w:t>血液</w:t>
            </w:r>
            <w:r>
              <w:rPr>
                <w:rFonts w:hint="eastAsia"/>
                <w:sz w:val="24"/>
                <w:szCs w:val="24"/>
              </w:rPr>
              <w:t>细胞精准</w:t>
            </w:r>
            <w:r>
              <w:rPr>
                <w:sz w:val="24"/>
                <w:szCs w:val="24"/>
              </w:rPr>
              <w:t>检测－血小板解聚功能</w:t>
            </w:r>
          </w:p>
        </w:tc>
        <w:tc>
          <w:tcPr>
            <w:tcW w:w="6757" w:type="dxa"/>
            <w:shd w:val="clear" w:color="auto" w:fill="auto"/>
          </w:tcPr>
          <w:p w14:paraId="496F5FB5">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自研解聚剂应用到血气分析仪RET通道，当触发血小板结果报警时可自动调用 PLT-O复检，解聚剂自动加入血液当中对聚集血小板进行解聚；同时RET通道还联用了</w:t>
            </w:r>
            <w:r>
              <w:rPr>
                <w:rFonts w:hint="eastAsia"/>
                <w:sz w:val="24"/>
                <w:szCs w:val="24"/>
                <w:lang w:eastAsia="zh-CN"/>
              </w:rPr>
              <w:t>“</w:t>
            </w:r>
            <w:r>
              <w:rPr>
                <w:sz w:val="24"/>
                <w:szCs w:val="24"/>
              </w:rPr>
              <w:t>加温</w:t>
            </w:r>
            <w:r>
              <w:rPr>
                <w:rFonts w:hint="eastAsia"/>
                <w:sz w:val="24"/>
                <w:szCs w:val="24"/>
                <w:lang w:eastAsia="zh-CN"/>
              </w:rPr>
              <w:t>”“</w:t>
            </w:r>
            <w:r>
              <w:rPr>
                <w:sz w:val="24"/>
                <w:szCs w:val="24"/>
              </w:rPr>
              <w:t>高速震荡</w:t>
            </w:r>
            <w:r>
              <w:rPr>
                <w:rFonts w:hint="eastAsia"/>
                <w:sz w:val="24"/>
                <w:szCs w:val="24"/>
                <w:lang w:eastAsia="zh-CN"/>
              </w:rPr>
              <w:t>”</w:t>
            </w:r>
            <w:r>
              <w:rPr>
                <w:sz w:val="24"/>
                <w:szCs w:val="24"/>
              </w:rPr>
              <w:t>等物理解聚技术，提升血小板计数的准确性。</w:t>
            </w:r>
          </w:p>
        </w:tc>
      </w:tr>
      <w:tr w14:paraId="62C07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2B085B52">
            <w:pPr>
              <w:spacing w:before="0" w:after="0"/>
              <w:ind w:firstLine="0" w:firstLineChars="0"/>
              <w:jc w:val="center"/>
              <w:rPr>
                <w:sz w:val="24"/>
                <w:szCs w:val="24"/>
              </w:rPr>
            </w:pPr>
            <w:r>
              <w:rPr>
                <w:color w:val="auto"/>
                <w:sz w:val="24"/>
                <w:szCs w:val="24"/>
              </w:rPr>
              <w:t>19</w:t>
            </w:r>
          </w:p>
        </w:tc>
        <w:tc>
          <w:tcPr>
            <w:tcW w:w="1418" w:type="dxa"/>
            <w:shd w:val="clear" w:color="auto" w:fill="auto"/>
            <w:vAlign w:val="center"/>
          </w:tcPr>
          <w:p w14:paraId="7AA43420">
            <w:pPr>
              <w:spacing w:before="0" w:after="0"/>
              <w:ind w:firstLine="0" w:firstLineChars="0"/>
              <w:jc w:val="left"/>
              <w:rPr>
                <w:sz w:val="24"/>
                <w:szCs w:val="24"/>
              </w:rPr>
            </w:pPr>
            <w:r>
              <w:rPr>
                <w:sz w:val="24"/>
                <w:szCs w:val="24"/>
              </w:rPr>
              <w:t>血液</w:t>
            </w:r>
            <w:r>
              <w:rPr>
                <w:rFonts w:hint="eastAsia"/>
                <w:sz w:val="24"/>
                <w:szCs w:val="24"/>
              </w:rPr>
              <w:t>细胞精准</w:t>
            </w:r>
            <w:r>
              <w:rPr>
                <w:sz w:val="24"/>
                <w:szCs w:val="24"/>
              </w:rPr>
              <w:t>检测—原始细胞检测</w:t>
            </w:r>
          </w:p>
        </w:tc>
        <w:tc>
          <w:tcPr>
            <w:tcW w:w="6757" w:type="dxa"/>
            <w:shd w:val="clear" w:color="auto" w:fill="auto"/>
          </w:tcPr>
          <w:p w14:paraId="08709994">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血液细胞分析仪SF Cube技术平台是三维荧光细胞分析平台，即利用侧向散射光、前向散射光及荧光分别实现对细胞内部复杂程度、细胞体积大小以及细胞核酸含量的检测，实现血细胞全方位的立体分析，针对原始细胞的特点，通过DIFF+WNB双通道协同的</w:t>
            </w:r>
            <w:r>
              <w:rPr>
                <w:rFonts w:hint="eastAsia"/>
                <w:sz w:val="24"/>
                <w:szCs w:val="24"/>
                <w:lang w:eastAsia="zh-CN"/>
              </w:rPr>
              <w:t>“</w:t>
            </w:r>
            <w:r>
              <w:rPr>
                <w:sz w:val="24"/>
                <w:szCs w:val="24"/>
              </w:rPr>
              <w:t>核质双检</w:t>
            </w:r>
            <w:r>
              <w:rPr>
                <w:rFonts w:hint="eastAsia"/>
                <w:sz w:val="24"/>
                <w:szCs w:val="24"/>
                <w:lang w:eastAsia="zh-CN"/>
              </w:rPr>
              <w:t>”</w:t>
            </w:r>
            <w:r>
              <w:rPr>
                <w:sz w:val="24"/>
                <w:szCs w:val="24"/>
              </w:rPr>
              <w:t>技术，差异化处理</w:t>
            </w:r>
            <w:r>
              <w:rPr>
                <w:rFonts w:hint="eastAsia"/>
                <w:sz w:val="24"/>
                <w:szCs w:val="24"/>
                <w:lang w:eastAsia="zh-CN"/>
              </w:rPr>
              <w:t>“</w:t>
            </w:r>
            <w:r>
              <w:rPr>
                <w:sz w:val="24"/>
                <w:szCs w:val="24"/>
              </w:rPr>
              <w:t>细胞核</w:t>
            </w:r>
            <w:r>
              <w:rPr>
                <w:rFonts w:hint="eastAsia"/>
                <w:sz w:val="24"/>
                <w:szCs w:val="24"/>
                <w:lang w:eastAsia="zh-CN"/>
              </w:rPr>
              <w:t>”</w:t>
            </w:r>
            <w:r>
              <w:rPr>
                <w:sz w:val="24"/>
                <w:szCs w:val="24"/>
              </w:rPr>
              <w:t>和</w:t>
            </w:r>
            <w:r>
              <w:rPr>
                <w:rFonts w:hint="eastAsia"/>
                <w:sz w:val="24"/>
                <w:szCs w:val="24"/>
                <w:lang w:eastAsia="zh-CN"/>
              </w:rPr>
              <w:t>“</w:t>
            </w:r>
            <w:r>
              <w:rPr>
                <w:sz w:val="24"/>
                <w:szCs w:val="24"/>
              </w:rPr>
              <w:t>细胞质</w:t>
            </w:r>
            <w:r>
              <w:rPr>
                <w:rFonts w:hint="eastAsia"/>
                <w:sz w:val="24"/>
                <w:szCs w:val="24"/>
                <w:lang w:eastAsia="zh-CN"/>
              </w:rPr>
              <w:t>”</w:t>
            </w:r>
            <w:r>
              <w:rPr>
                <w:sz w:val="24"/>
                <w:szCs w:val="24"/>
              </w:rPr>
              <w:t>，实现原始细胞高灵敏度及高特异性检出。</w:t>
            </w:r>
          </w:p>
        </w:tc>
      </w:tr>
      <w:tr w14:paraId="5384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B9F048B">
            <w:pPr>
              <w:spacing w:before="0" w:after="0"/>
              <w:ind w:firstLine="0" w:firstLineChars="0"/>
              <w:jc w:val="center"/>
              <w:rPr>
                <w:sz w:val="24"/>
                <w:szCs w:val="24"/>
              </w:rPr>
            </w:pPr>
            <w:r>
              <w:rPr>
                <w:color w:val="auto"/>
                <w:sz w:val="24"/>
                <w:szCs w:val="24"/>
              </w:rPr>
              <w:t>20</w:t>
            </w:r>
          </w:p>
        </w:tc>
        <w:tc>
          <w:tcPr>
            <w:tcW w:w="1418" w:type="dxa"/>
            <w:shd w:val="clear" w:color="auto" w:fill="auto"/>
            <w:vAlign w:val="center"/>
          </w:tcPr>
          <w:p w14:paraId="6E7E124C">
            <w:pPr>
              <w:spacing w:before="0" w:after="0"/>
              <w:ind w:firstLine="0" w:firstLineChars="0"/>
              <w:jc w:val="left"/>
              <w:rPr>
                <w:sz w:val="24"/>
                <w:szCs w:val="24"/>
              </w:rPr>
            </w:pPr>
            <w:r>
              <w:rPr>
                <w:sz w:val="24"/>
                <w:szCs w:val="24"/>
              </w:rPr>
              <w:t>HD Scope+睿瞳成像</w:t>
            </w:r>
          </w:p>
        </w:tc>
        <w:tc>
          <w:tcPr>
            <w:tcW w:w="6757" w:type="dxa"/>
            <w:shd w:val="clear" w:color="auto" w:fill="auto"/>
            <w:vAlign w:val="center"/>
          </w:tcPr>
          <w:p w14:paraId="7590EA96">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HD Scope+搭载在全新的AIT无极声学智慧平台，聚焦目标病灶区域的精细结构显示，以更卓越的洞察能力，还原人体原始解剖信息，助力临床疑难杂症的诊断与鉴别诊断。</w:t>
            </w:r>
          </w:p>
        </w:tc>
      </w:tr>
      <w:tr w14:paraId="70AB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1C8E0BF7">
            <w:pPr>
              <w:spacing w:before="0" w:after="0"/>
              <w:ind w:firstLine="0" w:firstLineChars="0"/>
              <w:jc w:val="center"/>
              <w:rPr>
                <w:sz w:val="24"/>
                <w:szCs w:val="24"/>
              </w:rPr>
            </w:pPr>
            <w:r>
              <w:rPr>
                <w:color w:val="auto"/>
                <w:sz w:val="24"/>
                <w:szCs w:val="24"/>
              </w:rPr>
              <w:t>21</w:t>
            </w:r>
          </w:p>
        </w:tc>
        <w:tc>
          <w:tcPr>
            <w:tcW w:w="1418" w:type="dxa"/>
            <w:shd w:val="clear" w:color="auto" w:fill="auto"/>
            <w:vAlign w:val="center"/>
          </w:tcPr>
          <w:p w14:paraId="106DC7D1">
            <w:pPr>
              <w:spacing w:before="0" w:after="0"/>
              <w:ind w:firstLine="0" w:firstLineChars="0"/>
              <w:jc w:val="left"/>
              <w:rPr>
                <w:sz w:val="24"/>
                <w:szCs w:val="24"/>
              </w:rPr>
            </w:pPr>
            <w:r>
              <w:rPr>
                <w:sz w:val="24"/>
                <w:szCs w:val="24"/>
              </w:rPr>
              <w:t>UMA超微纯净血流</w:t>
            </w:r>
          </w:p>
        </w:tc>
        <w:tc>
          <w:tcPr>
            <w:tcW w:w="6757" w:type="dxa"/>
            <w:shd w:val="clear" w:color="auto" w:fill="auto"/>
            <w:vAlign w:val="center"/>
          </w:tcPr>
          <w:p w14:paraId="5E976288">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采用全新时域、空间域合成算法，捕捉微细低速血流，在提供高灵敏度和高空间分辨率的同时，更有出色的运动伪像控制，可用于评估多种脏器及异常占位的血供分布情况，提升肿瘤良恶性诊断效能。</w:t>
            </w:r>
          </w:p>
        </w:tc>
      </w:tr>
      <w:tr w14:paraId="3A70B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F67D24A">
            <w:pPr>
              <w:spacing w:before="0" w:after="0"/>
              <w:ind w:firstLine="0" w:firstLineChars="0"/>
              <w:jc w:val="center"/>
              <w:rPr>
                <w:sz w:val="24"/>
                <w:szCs w:val="24"/>
              </w:rPr>
            </w:pPr>
            <w:r>
              <w:rPr>
                <w:color w:val="auto"/>
                <w:sz w:val="24"/>
                <w:szCs w:val="24"/>
              </w:rPr>
              <w:t>22</w:t>
            </w:r>
          </w:p>
        </w:tc>
        <w:tc>
          <w:tcPr>
            <w:tcW w:w="1418" w:type="dxa"/>
            <w:shd w:val="clear" w:color="auto" w:fill="auto"/>
            <w:vAlign w:val="center"/>
          </w:tcPr>
          <w:p w14:paraId="1CFB16C2">
            <w:pPr>
              <w:spacing w:before="0" w:after="0"/>
              <w:ind w:firstLine="0" w:firstLineChars="0"/>
              <w:jc w:val="left"/>
              <w:rPr>
                <w:sz w:val="24"/>
                <w:szCs w:val="24"/>
              </w:rPr>
            </w:pPr>
            <w:r>
              <w:rPr>
                <w:sz w:val="24"/>
                <w:szCs w:val="24"/>
              </w:rPr>
              <w:t>STE剪切波弹性成像</w:t>
            </w:r>
          </w:p>
        </w:tc>
        <w:tc>
          <w:tcPr>
            <w:tcW w:w="6757" w:type="dxa"/>
            <w:shd w:val="clear" w:color="auto" w:fill="auto"/>
            <w:vAlign w:val="center"/>
          </w:tcPr>
          <w:p w14:paraId="67A4DAF4">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剪切波弹性成像是一种无创、定量的生物组织力学特性检测技术，通过测量剪切波在组织中的传播速度来评估其硬度/弹性模量，广泛应用于肝脏、乳腺、甲状腺等疾病的早期诊断和监测。</w:t>
            </w:r>
          </w:p>
        </w:tc>
      </w:tr>
      <w:tr w14:paraId="4746C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105A87E4">
            <w:pPr>
              <w:spacing w:before="0" w:after="0"/>
              <w:ind w:firstLine="0" w:firstLineChars="0"/>
              <w:jc w:val="center"/>
              <w:rPr>
                <w:sz w:val="24"/>
                <w:szCs w:val="24"/>
              </w:rPr>
            </w:pPr>
            <w:r>
              <w:rPr>
                <w:color w:val="auto"/>
                <w:sz w:val="24"/>
                <w:szCs w:val="24"/>
              </w:rPr>
              <w:t>23</w:t>
            </w:r>
          </w:p>
        </w:tc>
        <w:tc>
          <w:tcPr>
            <w:tcW w:w="1418" w:type="dxa"/>
            <w:shd w:val="clear" w:color="auto" w:fill="auto"/>
            <w:vAlign w:val="center"/>
          </w:tcPr>
          <w:p w14:paraId="7C1BDD9D">
            <w:pPr>
              <w:spacing w:before="0" w:after="0"/>
              <w:ind w:firstLine="0" w:firstLineChars="0"/>
              <w:jc w:val="left"/>
              <w:rPr>
                <w:sz w:val="24"/>
                <w:szCs w:val="24"/>
              </w:rPr>
            </w:pPr>
            <w:r>
              <w:rPr>
                <w:sz w:val="24"/>
                <w:szCs w:val="24"/>
              </w:rPr>
              <w:t>STVi粘弹性成像</w:t>
            </w:r>
          </w:p>
        </w:tc>
        <w:tc>
          <w:tcPr>
            <w:tcW w:w="6757" w:type="dxa"/>
            <w:shd w:val="clear" w:color="auto" w:fill="auto"/>
            <w:vAlign w:val="center"/>
          </w:tcPr>
          <w:p w14:paraId="5411BB2F">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粘弹性成像实现对组织粘性的量化评估，用于更全面地探索肝脏、乳腺以及其他脏器相关疾病的影像诊断及量化分析</w:t>
            </w:r>
            <w:r>
              <w:rPr>
                <w:rFonts w:hint="eastAsia"/>
                <w:sz w:val="24"/>
                <w:szCs w:val="24"/>
              </w:rPr>
              <w:t>。</w:t>
            </w:r>
          </w:p>
        </w:tc>
      </w:tr>
      <w:tr w14:paraId="623ED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1CC9A3D">
            <w:pPr>
              <w:spacing w:before="0" w:after="0"/>
              <w:ind w:firstLine="0" w:firstLineChars="0"/>
              <w:jc w:val="center"/>
              <w:rPr>
                <w:sz w:val="24"/>
                <w:szCs w:val="24"/>
              </w:rPr>
            </w:pPr>
            <w:r>
              <w:rPr>
                <w:color w:val="auto"/>
                <w:sz w:val="24"/>
                <w:szCs w:val="24"/>
              </w:rPr>
              <w:t>24</w:t>
            </w:r>
          </w:p>
        </w:tc>
        <w:tc>
          <w:tcPr>
            <w:tcW w:w="1418" w:type="dxa"/>
            <w:shd w:val="clear" w:color="auto" w:fill="auto"/>
            <w:vAlign w:val="center"/>
          </w:tcPr>
          <w:p w14:paraId="2145BF99">
            <w:pPr>
              <w:spacing w:before="0" w:after="0"/>
              <w:ind w:firstLine="0" w:firstLineChars="0"/>
              <w:jc w:val="left"/>
              <w:rPr>
                <w:sz w:val="24"/>
                <w:szCs w:val="24"/>
              </w:rPr>
            </w:pPr>
            <w:r>
              <w:rPr>
                <w:sz w:val="24"/>
                <w:szCs w:val="24"/>
              </w:rPr>
              <w:t>M-Reference多参数联合分析</w:t>
            </w:r>
          </w:p>
        </w:tc>
        <w:tc>
          <w:tcPr>
            <w:tcW w:w="6757" w:type="dxa"/>
            <w:shd w:val="clear" w:color="auto" w:fill="auto"/>
            <w:vAlign w:val="center"/>
          </w:tcPr>
          <w:p w14:paraId="0BD41539">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M-Reference实现多种超声成像在同一切面的同步实时联合成像，提高诊断准确性与全面性。同时提供多种量化参数分析方法，助力构建联合诊断模型。</w:t>
            </w:r>
          </w:p>
        </w:tc>
      </w:tr>
      <w:tr w14:paraId="4B2CD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20EB00EA">
            <w:pPr>
              <w:spacing w:before="0" w:after="0"/>
              <w:ind w:firstLine="0" w:firstLineChars="0"/>
              <w:jc w:val="center"/>
              <w:rPr>
                <w:sz w:val="24"/>
                <w:szCs w:val="24"/>
              </w:rPr>
            </w:pPr>
            <w:r>
              <w:rPr>
                <w:color w:val="auto"/>
                <w:sz w:val="24"/>
                <w:szCs w:val="24"/>
              </w:rPr>
              <w:t>25</w:t>
            </w:r>
          </w:p>
        </w:tc>
        <w:tc>
          <w:tcPr>
            <w:tcW w:w="1418" w:type="dxa"/>
            <w:shd w:val="clear" w:color="auto" w:fill="auto"/>
            <w:vAlign w:val="center"/>
          </w:tcPr>
          <w:p w14:paraId="728EC2C2">
            <w:pPr>
              <w:spacing w:before="0" w:after="0"/>
              <w:ind w:firstLine="0" w:firstLineChars="0"/>
              <w:jc w:val="left"/>
              <w:rPr>
                <w:sz w:val="24"/>
                <w:szCs w:val="24"/>
              </w:rPr>
            </w:pPr>
            <w:r>
              <w:rPr>
                <w:sz w:val="24"/>
                <w:szCs w:val="24"/>
              </w:rPr>
              <w:t>HiFR-CEUS高帧率造影</w:t>
            </w:r>
          </w:p>
        </w:tc>
        <w:tc>
          <w:tcPr>
            <w:tcW w:w="6757" w:type="dxa"/>
            <w:shd w:val="clear" w:color="auto" w:fill="auto"/>
            <w:vAlign w:val="center"/>
          </w:tcPr>
          <w:p w14:paraId="69D27DB1">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高帧率造影通过超快速造影成像，帧率数倍于传统造影成像，用于捕捉病灶灌注早期的血管结构和灌注特征。</w:t>
            </w:r>
          </w:p>
        </w:tc>
      </w:tr>
      <w:tr w14:paraId="3798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12D39D3B">
            <w:pPr>
              <w:spacing w:before="0" w:after="0"/>
              <w:ind w:firstLine="0" w:firstLineChars="0"/>
              <w:jc w:val="center"/>
              <w:rPr>
                <w:sz w:val="24"/>
                <w:szCs w:val="24"/>
              </w:rPr>
            </w:pPr>
            <w:r>
              <w:rPr>
                <w:color w:val="auto"/>
                <w:sz w:val="24"/>
                <w:szCs w:val="24"/>
              </w:rPr>
              <w:t>26</w:t>
            </w:r>
          </w:p>
        </w:tc>
        <w:tc>
          <w:tcPr>
            <w:tcW w:w="1418" w:type="dxa"/>
            <w:shd w:val="clear" w:color="auto" w:fill="auto"/>
            <w:vAlign w:val="center"/>
          </w:tcPr>
          <w:p w14:paraId="5B43AC56">
            <w:pPr>
              <w:spacing w:before="0" w:after="0"/>
              <w:ind w:firstLine="0" w:firstLineChars="0"/>
              <w:jc w:val="left"/>
              <w:rPr>
                <w:sz w:val="24"/>
                <w:szCs w:val="24"/>
              </w:rPr>
            </w:pPr>
            <w:r>
              <w:rPr>
                <w:sz w:val="24"/>
                <w:szCs w:val="24"/>
              </w:rPr>
              <w:t>SR CEUS 显微造影</w:t>
            </w:r>
          </w:p>
        </w:tc>
        <w:tc>
          <w:tcPr>
            <w:tcW w:w="6757" w:type="dxa"/>
            <w:shd w:val="clear" w:color="auto" w:fill="auto"/>
            <w:vAlign w:val="center"/>
          </w:tcPr>
          <w:p w14:paraId="4E373928">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显微造影通过检测、分离、定位并追踪微泡质心的运动轨迹，从而构建出真实血管形态架构，实现了微米级的血管显示，并突破传统超声成像的衍射极限，血流敏感度和分辨率大大提升，能够观察到更微细血管和血流动力学变化，并且提供了形态学和血流动力学的定量参数分析。</w:t>
            </w:r>
          </w:p>
        </w:tc>
      </w:tr>
      <w:tr w14:paraId="3E16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72464940">
            <w:pPr>
              <w:spacing w:before="0" w:after="0"/>
              <w:ind w:firstLine="0" w:firstLineChars="0"/>
              <w:jc w:val="center"/>
              <w:rPr>
                <w:sz w:val="24"/>
                <w:szCs w:val="24"/>
              </w:rPr>
            </w:pPr>
            <w:r>
              <w:rPr>
                <w:color w:val="auto"/>
                <w:sz w:val="24"/>
                <w:szCs w:val="24"/>
              </w:rPr>
              <w:t>27</w:t>
            </w:r>
          </w:p>
        </w:tc>
        <w:tc>
          <w:tcPr>
            <w:tcW w:w="1418" w:type="dxa"/>
            <w:shd w:val="clear" w:color="auto" w:fill="auto"/>
            <w:vAlign w:val="center"/>
          </w:tcPr>
          <w:p w14:paraId="0D751137">
            <w:pPr>
              <w:spacing w:before="0" w:after="0"/>
              <w:ind w:firstLine="0" w:firstLineChars="0"/>
              <w:jc w:val="left"/>
              <w:rPr>
                <w:sz w:val="24"/>
                <w:szCs w:val="24"/>
              </w:rPr>
            </w:pPr>
            <w:r>
              <w:rPr>
                <w:sz w:val="24"/>
                <w:szCs w:val="24"/>
              </w:rPr>
              <w:t>iFusion融合成像</w:t>
            </w:r>
          </w:p>
        </w:tc>
        <w:tc>
          <w:tcPr>
            <w:tcW w:w="6757" w:type="dxa"/>
            <w:shd w:val="clear" w:color="auto" w:fill="auto"/>
          </w:tcPr>
          <w:p w14:paraId="5F223349">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融合成像系统能够实时地在CT/MR 的三维数据中提取出与当前超声扫查切面一致的二维 CT/MR 图像，并与超声实时图像精确匹配后进行对比及融合叠加显示。借助CT/MR 的高分辨率影像信息和超声的实时优势，融合成像实时导航可以帮助医生准确地定位病灶的位置。</w:t>
            </w:r>
          </w:p>
        </w:tc>
      </w:tr>
      <w:tr w14:paraId="05E8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7ADCD557">
            <w:pPr>
              <w:spacing w:before="0" w:after="0"/>
              <w:ind w:firstLine="0" w:firstLineChars="0"/>
              <w:jc w:val="center"/>
              <w:rPr>
                <w:sz w:val="24"/>
                <w:szCs w:val="24"/>
              </w:rPr>
            </w:pPr>
            <w:r>
              <w:rPr>
                <w:color w:val="auto"/>
                <w:sz w:val="24"/>
                <w:szCs w:val="24"/>
              </w:rPr>
              <w:t>28</w:t>
            </w:r>
          </w:p>
        </w:tc>
        <w:tc>
          <w:tcPr>
            <w:tcW w:w="1418" w:type="dxa"/>
            <w:shd w:val="clear" w:color="auto" w:fill="auto"/>
            <w:vAlign w:val="center"/>
          </w:tcPr>
          <w:p w14:paraId="04F15442">
            <w:pPr>
              <w:spacing w:before="0" w:after="0"/>
              <w:ind w:firstLine="0" w:firstLineChars="0"/>
              <w:jc w:val="left"/>
              <w:rPr>
                <w:sz w:val="24"/>
                <w:szCs w:val="24"/>
                <w:lang w:val="zh-TW" w:eastAsia="zh-TW"/>
              </w:rPr>
            </w:pPr>
            <w:r>
              <w:rPr>
                <w:sz w:val="24"/>
                <w:szCs w:val="24"/>
              </w:rPr>
              <w:t>Auto DFR心脏舒张功能自动测量</w:t>
            </w:r>
          </w:p>
        </w:tc>
        <w:tc>
          <w:tcPr>
            <w:tcW w:w="6757" w:type="dxa"/>
            <w:shd w:val="clear" w:color="auto" w:fill="auto"/>
          </w:tcPr>
          <w:p w14:paraId="393A1FF3">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lang w:val="zh-TW" w:eastAsia="zh-TW"/>
              </w:rPr>
              <w:t>心脏舒张功能自动测量（</w:t>
            </w:r>
            <w:r>
              <w:rPr>
                <w:sz w:val="24"/>
                <w:szCs w:val="24"/>
              </w:rPr>
              <w:t>Auto DFR</w:t>
            </w:r>
            <w:r>
              <w:rPr>
                <w:sz w:val="24"/>
                <w:szCs w:val="24"/>
                <w:lang w:val="zh-TW" w:eastAsia="zh-TW"/>
              </w:rPr>
              <w:t>）结合图像处理、模式识别的方法，实现超声图像（心尖四腔切面）上取样容积二尖瓣口、二尖瓣环的自动定位与频谱自动计算，进而自动测得</w:t>
            </w:r>
            <w:r>
              <w:rPr>
                <w:sz w:val="24"/>
                <w:szCs w:val="24"/>
              </w:rPr>
              <w:t>E</w:t>
            </w:r>
            <w:r>
              <w:rPr>
                <w:sz w:val="24"/>
                <w:szCs w:val="24"/>
                <w:lang w:val="zh-TW" w:eastAsia="zh-TW"/>
              </w:rPr>
              <w:t>峰、</w:t>
            </w:r>
            <w:r>
              <w:rPr>
                <w:sz w:val="24"/>
                <w:szCs w:val="24"/>
              </w:rPr>
              <w:t>A</w:t>
            </w:r>
            <w:r>
              <w:rPr>
                <w:sz w:val="24"/>
                <w:szCs w:val="24"/>
                <w:lang w:val="zh-TW" w:eastAsia="zh-TW"/>
              </w:rPr>
              <w:t>峰、</w:t>
            </w:r>
            <w:r>
              <w:rPr>
                <w:sz w:val="24"/>
                <w:szCs w:val="24"/>
              </w:rPr>
              <w:t xml:space="preserve"> e’</w:t>
            </w:r>
            <w:r>
              <w:rPr>
                <w:sz w:val="24"/>
                <w:szCs w:val="24"/>
                <w:lang w:val="zh-TW" w:eastAsia="zh-TW"/>
              </w:rPr>
              <w:t>峰，</w:t>
            </w:r>
            <w:r>
              <w:rPr>
                <w:sz w:val="24"/>
                <w:szCs w:val="24"/>
              </w:rPr>
              <w:t xml:space="preserve"> </w:t>
            </w:r>
            <w:r>
              <w:rPr>
                <w:sz w:val="24"/>
                <w:szCs w:val="24"/>
                <w:lang w:val="zh-TW" w:eastAsia="zh-TW"/>
              </w:rPr>
              <w:t>并获取</w:t>
            </w:r>
            <w:r>
              <w:rPr>
                <w:sz w:val="24"/>
                <w:szCs w:val="24"/>
              </w:rPr>
              <w:t xml:space="preserve">E/A </w:t>
            </w:r>
            <w:r>
              <w:rPr>
                <w:sz w:val="24"/>
                <w:szCs w:val="24"/>
                <w:lang w:val="zh-TW" w:eastAsia="zh-TW"/>
              </w:rPr>
              <w:t>、</w:t>
            </w:r>
            <w:r>
              <w:rPr>
                <w:sz w:val="24"/>
                <w:szCs w:val="24"/>
              </w:rPr>
              <w:t>E/e’</w:t>
            </w:r>
            <w:r>
              <w:rPr>
                <w:sz w:val="24"/>
                <w:szCs w:val="24"/>
                <w:lang w:val="zh-TW" w:eastAsia="zh-TW"/>
              </w:rPr>
              <w:t>。该功能支持实时与离线操作，大幅减少了用户的操作步骤。通过对心尖四腔心切面图像中二尖瓣的特征提取，基于模式识别方法，实现二尖瓣口、</w:t>
            </w:r>
            <w:r>
              <w:rPr>
                <w:sz w:val="24"/>
                <w:szCs w:val="24"/>
              </w:rPr>
              <w:t xml:space="preserve"> </w:t>
            </w:r>
            <w:r>
              <w:rPr>
                <w:sz w:val="24"/>
                <w:szCs w:val="24"/>
                <w:lang w:val="zh-TW" w:eastAsia="zh-TW"/>
              </w:rPr>
              <w:t>二尖瓣环的自动定位。针对二尖瓣口血流的频谱，算法进行自适应阈值分割。另外，由于取样门容易受到心肌及瓣膜运动影响，因此频谱上容易出现干扰信号。算法通过滤波设计滤除干扰信号，实现对频谱的自动周期识别及</w:t>
            </w:r>
            <w:r>
              <w:rPr>
                <w:sz w:val="24"/>
                <w:szCs w:val="24"/>
                <w:lang w:val="zh-CN"/>
              </w:rPr>
              <w:t>E</w:t>
            </w:r>
            <w:r>
              <w:rPr>
                <w:sz w:val="24"/>
                <w:szCs w:val="24"/>
                <w:lang w:val="zh-TW" w:eastAsia="zh-TW"/>
              </w:rPr>
              <w:t>峰、</w:t>
            </w:r>
            <w:r>
              <w:rPr>
                <w:sz w:val="24"/>
                <w:szCs w:val="24"/>
                <w:lang w:val="zh-CN"/>
              </w:rPr>
              <w:t>A</w:t>
            </w:r>
            <w:r>
              <w:rPr>
                <w:sz w:val="24"/>
                <w:szCs w:val="24"/>
                <w:lang w:val="zh-TW" w:eastAsia="zh-TW"/>
              </w:rPr>
              <w:t>峰自动计算。</w:t>
            </w:r>
          </w:p>
        </w:tc>
      </w:tr>
      <w:tr w14:paraId="19203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42C59064">
            <w:pPr>
              <w:spacing w:before="0" w:after="0"/>
              <w:ind w:firstLine="0" w:firstLineChars="0"/>
              <w:jc w:val="center"/>
              <w:rPr>
                <w:sz w:val="24"/>
                <w:szCs w:val="24"/>
              </w:rPr>
            </w:pPr>
            <w:r>
              <w:rPr>
                <w:color w:val="auto"/>
                <w:sz w:val="24"/>
                <w:szCs w:val="24"/>
              </w:rPr>
              <w:t>29</w:t>
            </w:r>
          </w:p>
        </w:tc>
        <w:tc>
          <w:tcPr>
            <w:tcW w:w="1418" w:type="dxa"/>
            <w:shd w:val="clear" w:color="auto" w:fill="auto"/>
            <w:vAlign w:val="center"/>
          </w:tcPr>
          <w:p w14:paraId="30413108">
            <w:pPr>
              <w:spacing w:before="0" w:after="0"/>
              <w:ind w:firstLine="0" w:firstLineChars="0"/>
              <w:jc w:val="left"/>
              <w:rPr>
                <w:sz w:val="24"/>
                <w:szCs w:val="24"/>
              </w:rPr>
            </w:pPr>
            <w:r>
              <w:rPr>
                <w:sz w:val="24"/>
                <w:szCs w:val="24"/>
              </w:rPr>
              <w:t>Auto EF自动射血分数计算</w:t>
            </w:r>
          </w:p>
        </w:tc>
        <w:tc>
          <w:tcPr>
            <w:tcW w:w="6757" w:type="dxa"/>
            <w:shd w:val="clear" w:color="auto" w:fill="auto"/>
          </w:tcPr>
          <w:p w14:paraId="5002DE8A">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lang w:val="zh-TW" w:eastAsia="zh-TW"/>
              </w:rPr>
              <w:t>自动射血分数计算（</w:t>
            </w:r>
            <w:r>
              <w:rPr>
                <w:sz w:val="24"/>
                <w:szCs w:val="24"/>
              </w:rPr>
              <w:t>Auto EF</w:t>
            </w:r>
            <w:r>
              <w:rPr>
                <w:sz w:val="24"/>
                <w:szCs w:val="24"/>
                <w:lang w:val="zh-TW" w:eastAsia="zh-TW"/>
              </w:rPr>
              <w:t>）是通过心尖四腔或心尖两腔切面，对舒张末期和收缩末期心内膜的描迹，把左室分成若干个（一般是</w:t>
            </w:r>
            <w:r>
              <w:rPr>
                <w:sz w:val="24"/>
                <w:szCs w:val="24"/>
                <w:lang w:val="zh-CN"/>
              </w:rPr>
              <w:t>20</w:t>
            </w:r>
            <w:r>
              <w:rPr>
                <w:sz w:val="24"/>
                <w:szCs w:val="24"/>
                <w:lang w:val="zh-TW" w:eastAsia="zh-TW"/>
              </w:rPr>
              <w:t>个）圆柱体，分别计算出每个圆柱体体积相加即可得出左室舒张末期和收缩末期容积，进而计算出射血分数。结合模式识别、图像处理的方法，实现超声图像（心尖四腔切面、心尖两腔切面）的切面类型识别，并对左室内膜自动描迹与跟踪，进而一键获取</w:t>
            </w:r>
            <w:r>
              <w:rPr>
                <w:sz w:val="24"/>
                <w:szCs w:val="24"/>
              </w:rPr>
              <w:t xml:space="preserve"> </w:t>
            </w:r>
            <w:r>
              <w:rPr>
                <w:sz w:val="24"/>
                <w:szCs w:val="24"/>
                <w:lang w:val="zh-TW" w:eastAsia="zh-TW"/>
              </w:rPr>
              <w:t>。</w:t>
            </w:r>
          </w:p>
        </w:tc>
      </w:tr>
      <w:tr w14:paraId="204A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4EEFFD8">
            <w:pPr>
              <w:spacing w:before="0" w:after="0"/>
              <w:ind w:firstLine="0" w:firstLineChars="0"/>
              <w:jc w:val="center"/>
              <w:rPr>
                <w:sz w:val="24"/>
                <w:szCs w:val="24"/>
              </w:rPr>
            </w:pPr>
            <w:r>
              <w:rPr>
                <w:color w:val="auto"/>
                <w:sz w:val="24"/>
                <w:szCs w:val="24"/>
              </w:rPr>
              <w:t>30</w:t>
            </w:r>
          </w:p>
        </w:tc>
        <w:tc>
          <w:tcPr>
            <w:tcW w:w="1418" w:type="dxa"/>
            <w:shd w:val="clear" w:color="auto" w:fill="auto"/>
            <w:vAlign w:val="center"/>
          </w:tcPr>
          <w:p w14:paraId="5FD9C14E">
            <w:pPr>
              <w:spacing w:before="0" w:after="0"/>
              <w:ind w:firstLine="0" w:firstLineChars="0"/>
              <w:jc w:val="left"/>
              <w:rPr>
                <w:sz w:val="24"/>
                <w:szCs w:val="24"/>
              </w:rPr>
            </w:pPr>
            <w:r>
              <w:rPr>
                <w:sz w:val="24"/>
                <w:szCs w:val="24"/>
              </w:rPr>
              <w:t>Auto Strain LV左心室自动应变分析功能</w:t>
            </w:r>
          </w:p>
        </w:tc>
        <w:tc>
          <w:tcPr>
            <w:tcW w:w="6757" w:type="dxa"/>
            <w:shd w:val="clear" w:color="auto" w:fill="auto"/>
          </w:tcPr>
          <w:p w14:paraId="3FD9C43F">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lang w:val="zh-TW" w:eastAsia="zh-TW"/>
              </w:rPr>
              <w:t>左心室自动应变分析功能（</w:t>
            </w:r>
            <w:r>
              <w:rPr>
                <w:sz w:val="24"/>
                <w:szCs w:val="24"/>
              </w:rPr>
              <w:t>Auto Strain LV</w:t>
            </w:r>
            <w:r>
              <w:rPr>
                <w:sz w:val="24"/>
                <w:szCs w:val="24"/>
                <w:lang w:val="zh-TW" w:eastAsia="zh-TW"/>
              </w:rPr>
              <w:t>）基于全新心脏专科探头生成的高质量图像，采用前沿图像处理及模式识别算法，实现了准确、高效的左心室自动定位、追踪和计算。可一键完成左室心尖多个切面的同步全自动分析，提供彩色应变值、心尖短缩与心率变异提示、像素级冠脉牛眼图等多种显示效果，为临床诊断提供了更直观、优越的指导方式。对于分析结果，支持全面的参数计算与</w:t>
            </w:r>
            <w:r>
              <w:rPr>
                <w:sz w:val="24"/>
                <w:szCs w:val="24"/>
                <w:lang w:val="zh-CN"/>
              </w:rPr>
              <w:t>参数导出</w:t>
            </w:r>
            <w:r>
              <w:rPr>
                <w:sz w:val="24"/>
                <w:szCs w:val="24"/>
                <w:lang w:val="zh-TW" w:eastAsia="zh-TW"/>
              </w:rPr>
              <w:t>，包括：容积、射血分数、径向与纵向应变、应变率、位移和速度等。此外，还提供左室短轴和心腔造影模式下长轴切面的半自动分析，在心尖长轴分析基础上，丰富用户进行深入科研探索的能力。支持对无</w:t>
            </w:r>
            <w:r>
              <w:rPr>
                <w:sz w:val="24"/>
                <w:szCs w:val="24"/>
              </w:rPr>
              <w:t>ECG</w:t>
            </w:r>
            <w:r>
              <w:rPr>
                <w:sz w:val="24"/>
                <w:szCs w:val="24"/>
                <w:lang w:val="zh-TW" w:eastAsia="zh-TW"/>
              </w:rPr>
              <w:t>信号心脏超声电影进行多切面全自动分析。</w:t>
            </w:r>
          </w:p>
        </w:tc>
      </w:tr>
      <w:tr w14:paraId="1934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667085C8">
            <w:pPr>
              <w:spacing w:before="0" w:after="0"/>
              <w:ind w:firstLine="0" w:firstLineChars="0"/>
              <w:jc w:val="center"/>
              <w:rPr>
                <w:sz w:val="24"/>
                <w:szCs w:val="24"/>
              </w:rPr>
            </w:pPr>
            <w:r>
              <w:rPr>
                <w:sz w:val="24"/>
                <w:szCs w:val="24"/>
              </w:rPr>
              <w:t>31</w:t>
            </w:r>
          </w:p>
        </w:tc>
        <w:tc>
          <w:tcPr>
            <w:tcW w:w="1418" w:type="dxa"/>
            <w:shd w:val="clear" w:color="auto" w:fill="auto"/>
            <w:vAlign w:val="center"/>
          </w:tcPr>
          <w:p w14:paraId="05C93628">
            <w:pPr>
              <w:spacing w:before="0" w:after="0"/>
              <w:ind w:firstLine="0" w:firstLineChars="0"/>
              <w:jc w:val="left"/>
              <w:rPr>
                <w:sz w:val="24"/>
                <w:szCs w:val="24"/>
              </w:rPr>
            </w:pPr>
            <w:r>
              <w:rPr>
                <w:sz w:val="24"/>
                <w:szCs w:val="24"/>
              </w:rPr>
              <w:t>Auto VQLA自动左房容积定量</w:t>
            </w:r>
          </w:p>
        </w:tc>
        <w:tc>
          <w:tcPr>
            <w:tcW w:w="6757" w:type="dxa"/>
            <w:shd w:val="clear" w:color="auto" w:fill="auto"/>
          </w:tcPr>
          <w:p w14:paraId="132F509C">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lang w:val="zh-TW" w:eastAsia="zh-TW"/>
              </w:rPr>
              <w:t>自动左房容积定量（</w:t>
            </w:r>
            <w:r>
              <w:rPr>
                <w:sz w:val="24"/>
                <w:szCs w:val="24"/>
              </w:rPr>
              <w:t>Auto VQLA</w:t>
            </w:r>
            <w:r>
              <w:rPr>
                <w:sz w:val="24"/>
                <w:szCs w:val="24"/>
                <w:lang w:val="zh-TW" w:eastAsia="zh-TW"/>
              </w:rPr>
              <w:t>）是基于图像处理与模式识别算法，适用于成人心脏左心房容量自动评估的技术。该功能可在一段左房电影数据中自动识别切面类型、自动检测时相、自动描记舒张末和收缩末左房轮廓、自动识别关键点并计算左房最大容积和最小容积，进而计算左房排空分数等测量参数，</w:t>
            </w:r>
            <w:r>
              <w:rPr>
                <w:sz w:val="24"/>
                <w:szCs w:val="24"/>
                <w:lang w:val="zh-CN"/>
              </w:rPr>
              <w:t>并</w:t>
            </w:r>
            <w:r>
              <w:rPr>
                <w:sz w:val="24"/>
                <w:szCs w:val="24"/>
                <w:lang w:val="zh-TW" w:eastAsia="zh-TW"/>
              </w:rPr>
              <w:t>支持无</w:t>
            </w:r>
            <w:r>
              <w:rPr>
                <w:sz w:val="24"/>
                <w:szCs w:val="24"/>
                <w:lang w:val="zh-CN"/>
              </w:rPr>
              <w:t>心电信号</w:t>
            </w:r>
            <w:r>
              <w:rPr>
                <w:sz w:val="24"/>
                <w:szCs w:val="24"/>
                <w:lang w:val="zh-TW" w:eastAsia="zh-TW"/>
              </w:rPr>
              <w:t>场景</w:t>
            </w:r>
            <w:r>
              <w:rPr>
                <w:sz w:val="24"/>
                <w:szCs w:val="24"/>
                <w:lang w:val="zh-CN"/>
              </w:rPr>
              <w:t>。</w:t>
            </w:r>
          </w:p>
        </w:tc>
      </w:tr>
      <w:tr w14:paraId="0578A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1BD2793">
            <w:pPr>
              <w:spacing w:before="0" w:after="0"/>
              <w:ind w:firstLine="0" w:firstLineChars="0"/>
              <w:jc w:val="center"/>
              <w:rPr>
                <w:sz w:val="24"/>
                <w:szCs w:val="24"/>
              </w:rPr>
            </w:pPr>
            <w:r>
              <w:rPr>
                <w:color w:val="auto"/>
                <w:sz w:val="24"/>
                <w:szCs w:val="24"/>
              </w:rPr>
              <w:t>32</w:t>
            </w:r>
          </w:p>
        </w:tc>
        <w:tc>
          <w:tcPr>
            <w:tcW w:w="1418" w:type="dxa"/>
            <w:shd w:val="clear" w:color="auto" w:fill="auto"/>
            <w:vAlign w:val="center"/>
          </w:tcPr>
          <w:p w14:paraId="50A3DD43">
            <w:pPr>
              <w:spacing w:before="0" w:after="0"/>
              <w:ind w:firstLine="0" w:firstLineChars="0"/>
              <w:jc w:val="left"/>
              <w:rPr>
                <w:sz w:val="24"/>
                <w:szCs w:val="24"/>
              </w:rPr>
            </w:pPr>
            <w:r>
              <w:rPr>
                <w:sz w:val="24"/>
                <w:szCs w:val="24"/>
              </w:rPr>
              <w:t>V Flow动态向量血流技术</w:t>
            </w:r>
          </w:p>
        </w:tc>
        <w:tc>
          <w:tcPr>
            <w:tcW w:w="6757" w:type="dxa"/>
            <w:shd w:val="clear" w:color="auto" w:fill="auto"/>
          </w:tcPr>
          <w:p w14:paraId="396C2949">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lang w:val="zh-TW" w:eastAsia="zh-TW"/>
              </w:rPr>
              <w:t>动态向量血流技术</w:t>
            </w:r>
            <w:r>
              <w:rPr>
                <w:sz w:val="24"/>
                <w:szCs w:val="24"/>
              </w:rPr>
              <w:t>(V Flow)</w:t>
            </w:r>
            <w:r>
              <w:rPr>
                <w:sz w:val="24"/>
                <w:szCs w:val="24"/>
                <w:lang w:val="zh-TW" w:eastAsia="zh-TW"/>
              </w:rPr>
              <w:t>克服了传统多普勒角度依赖的技术瓶颈，可以捕获到各个方向上的血流信息。在弯曲的血管，血管分叉处或斑块所致的复杂血流动力学流场的变化，动态向量血流技术都能获得精准的血流速度大小和方向。同时，动态向量血流技术与传统的彩色多普勒超声不同，它有极佳的时间分辨率，是传统彩色多普勒超声的</w:t>
            </w:r>
            <w:r>
              <w:rPr>
                <w:sz w:val="24"/>
                <w:szCs w:val="24"/>
              </w:rPr>
              <w:t>40</w:t>
            </w:r>
            <w:r>
              <w:rPr>
                <w:sz w:val="24"/>
                <w:szCs w:val="24"/>
                <w:lang w:val="zh-TW" w:eastAsia="zh-TW"/>
              </w:rPr>
              <w:t>倍以上，达到毫秒级的血流显示，这对深入分析血流动力学变化与时相之间关系</w:t>
            </w:r>
            <w:r>
              <w:rPr>
                <w:sz w:val="24"/>
                <w:szCs w:val="24"/>
                <w:lang w:val="zh-CN"/>
              </w:rPr>
              <w:t>提供了全新的视角和方法</w:t>
            </w:r>
            <w:r>
              <w:rPr>
                <w:sz w:val="24"/>
                <w:szCs w:val="24"/>
                <w:lang w:val="zh-TW" w:eastAsia="zh-TW"/>
              </w:rPr>
              <w:t>。</w:t>
            </w:r>
          </w:p>
        </w:tc>
      </w:tr>
      <w:tr w14:paraId="1910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0195F1FA">
            <w:pPr>
              <w:spacing w:before="0" w:after="0"/>
              <w:ind w:firstLine="0" w:firstLineChars="0"/>
              <w:jc w:val="center"/>
              <w:rPr>
                <w:sz w:val="24"/>
                <w:szCs w:val="24"/>
              </w:rPr>
            </w:pPr>
            <w:r>
              <w:rPr>
                <w:color w:val="auto"/>
                <w:sz w:val="24"/>
                <w:szCs w:val="24"/>
              </w:rPr>
              <w:t>33</w:t>
            </w:r>
          </w:p>
        </w:tc>
        <w:tc>
          <w:tcPr>
            <w:tcW w:w="1418" w:type="dxa"/>
            <w:shd w:val="clear" w:color="auto" w:fill="auto"/>
            <w:vAlign w:val="center"/>
          </w:tcPr>
          <w:p w14:paraId="7070BF63">
            <w:pPr>
              <w:spacing w:before="0" w:after="0"/>
              <w:ind w:firstLine="0" w:firstLineChars="0"/>
              <w:jc w:val="left"/>
              <w:rPr>
                <w:sz w:val="24"/>
                <w:szCs w:val="24"/>
              </w:rPr>
            </w:pPr>
            <w:r>
              <w:rPr>
                <w:sz w:val="24"/>
                <w:szCs w:val="24"/>
              </w:rPr>
              <w:t>Echo Contrast Imaging QA心肌造影定量分析功能</w:t>
            </w:r>
          </w:p>
        </w:tc>
        <w:tc>
          <w:tcPr>
            <w:tcW w:w="6757" w:type="dxa"/>
            <w:shd w:val="clear" w:color="auto" w:fill="auto"/>
          </w:tcPr>
          <w:p w14:paraId="306B2251">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lang w:val="zh-TW" w:eastAsia="zh-TW"/>
              </w:rPr>
              <w:t>心肌造影定量分析功能</w:t>
            </w:r>
            <w:r>
              <w:rPr>
                <w:sz w:val="24"/>
                <w:szCs w:val="24"/>
              </w:rPr>
              <w:t>Echo Contrast Imaging QA</w:t>
            </w:r>
            <w:r>
              <w:rPr>
                <w:sz w:val="24"/>
                <w:szCs w:val="24"/>
                <w:lang w:val="zh-TW" w:eastAsia="zh-TW"/>
              </w:rPr>
              <w:t>通过设置</w:t>
            </w:r>
            <w:r>
              <w:rPr>
                <w:sz w:val="24"/>
                <w:szCs w:val="24"/>
              </w:rPr>
              <w:t>ED</w:t>
            </w:r>
            <w:r>
              <w:rPr>
                <w:sz w:val="24"/>
                <w:szCs w:val="24"/>
                <w:lang w:val="zh-TW" w:eastAsia="zh-TW"/>
              </w:rPr>
              <w:t>（舒张末期），</w:t>
            </w:r>
            <w:r>
              <w:rPr>
                <w:sz w:val="24"/>
                <w:szCs w:val="24"/>
              </w:rPr>
              <w:t>ES</w:t>
            </w:r>
            <w:r>
              <w:rPr>
                <w:sz w:val="24"/>
                <w:szCs w:val="24"/>
                <w:lang w:val="zh-TW" w:eastAsia="zh-TW"/>
              </w:rPr>
              <w:t>（收缩末期），</w:t>
            </w:r>
            <w:r>
              <w:rPr>
                <w:sz w:val="24"/>
                <w:szCs w:val="24"/>
              </w:rPr>
              <w:t>ERF</w:t>
            </w:r>
            <w:r>
              <w:rPr>
                <w:sz w:val="24"/>
                <w:szCs w:val="24"/>
                <w:lang w:val="zh-TW" w:eastAsia="zh-TW"/>
              </w:rPr>
              <w:t>（快速充盈末期）时相并在对应超声图像上进行描迹形成关键帧，之后将描迹的轮廓利用信息同步到所有周期，再对关键帧之间的过渡帧的轮廓进行线性插值计算，最终实现跟随心肌运动的效果，并通过拟合内的时间强度曲线得到灌注定量参数。</w:t>
            </w:r>
          </w:p>
        </w:tc>
      </w:tr>
      <w:tr w14:paraId="6FC14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2124B212">
            <w:pPr>
              <w:spacing w:before="0" w:after="0"/>
              <w:ind w:firstLine="0" w:firstLineChars="0"/>
              <w:jc w:val="center"/>
              <w:rPr>
                <w:sz w:val="24"/>
                <w:szCs w:val="24"/>
              </w:rPr>
            </w:pPr>
            <w:r>
              <w:rPr>
                <w:color w:val="auto"/>
                <w:sz w:val="24"/>
                <w:szCs w:val="24"/>
              </w:rPr>
              <w:t>34</w:t>
            </w:r>
          </w:p>
        </w:tc>
        <w:tc>
          <w:tcPr>
            <w:tcW w:w="1418" w:type="dxa"/>
            <w:shd w:val="clear" w:color="auto" w:fill="auto"/>
            <w:vAlign w:val="center"/>
          </w:tcPr>
          <w:p w14:paraId="17D016C3">
            <w:pPr>
              <w:spacing w:before="0" w:after="0"/>
              <w:ind w:firstLine="0" w:firstLineChars="0"/>
              <w:jc w:val="left"/>
              <w:rPr>
                <w:sz w:val="24"/>
                <w:szCs w:val="24"/>
              </w:rPr>
            </w:pPr>
            <w:r>
              <w:rPr>
                <w:sz w:val="24"/>
                <w:szCs w:val="24"/>
              </w:rPr>
              <w:t>Smart ERA子宫内膜容受性分析</w:t>
            </w:r>
          </w:p>
        </w:tc>
        <w:tc>
          <w:tcPr>
            <w:tcW w:w="6757" w:type="dxa"/>
            <w:shd w:val="clear" w:color="auto" w:fill="auto"/>
          </w:tcPr>
          <w:p w14:paraId="2505EF7D">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Smart ERA功能是一种快速实现三维超声子宫内膜容受性分析的软件，可以实现一键获取子宫三维体数据，进而自动获取内膜冠状面成像图，并自动计算子宫内膜容积、厚度等参数，对于带有彩色或能量多普勒血流信号的三维数据还能自动获得血管指数（Vascularization Index, VI）、血流指数（Flow Index, FI）、血管血流指数（Vascularization Flow index,VFI）测量结果。Smart ERA 显著提升了临床检查效率，将原本使用手动工具 3-5 分钟才能完成的成像测量减少到 2-3秒。临床验证结果表明，相比于手动测量，Smart ERA 显著提升了三维超声下子宫内膜容受性分析的效率和准确性。其自动冠状面曲面重建功能在子宫畸形和病灶显示方面也有一定的临床价值。</w:t>
            </w:r>
          </w:p>
        </w:tc>
      </w:tr>
      <w:tr w14:paraId="30143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65E0DDED">
            <w:pPr>
              <w:spacing w:before="0" w:after="0"/>
              <w:ind w:firstLine="0" w:firstLineChars="0"/>
              <w:jc w:val="center"/>
              <w:rPr>
                <w:sz w:val="24"/>
                <w:szCs w:val="24"/>
              </w:rPr>
            </w:pPr>
            <w:r>
              <w:rPr>
                <w:color w:val="auto"/>
                <w:sz w:val="24"/>
                <w:szCs w:val="24"/>
              </w:rPr>
              <w:t>35</w:t>
            </w:r>
          </w:p>
        </w:tc>
        <w:tc>
          <w:tcPr>
            <w:tcW w:w="1418" w:type="dxa"/>
            <w:shd w:val="clear" w:color="auto" w:fill="auto"/>
            <w:vAlign w:val="center"/>
          </w:tcPr>
          <w:p w14:paraId="7EAEB552">
            <w:pPr>
              <w:spacing w:before="0" w:after="0"/>
              <w:ind w:firstLine="0" w:firstLineChars="0"/>
              <w:jc w:val="left"/>
              <w:rPr>
                <w:sz w:val="24"/>
                <w:szCs w:val="24"/>
              </w:rPr>
            </w:pPr>
            <w:r>
              <w:rPr>
                <w:sz w:val="24"/>
                <w:szCs w:val="24"/>
              </w:rPr>
              <w:t>Smart Pelvic自动盆底超声解决方案</w:t>
            </w:r>
          </w:p>
        </w:tc>
        <w:tc>
          <w:tcPr>
            <w:tcW w:w="6757" w:type="dxa"/>
            <w:shd w:val="clear" w:color="auto" w:fill="auto"/>
          </w:tcPr>
          <w:p w14:paraId="0F6EFE08">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女性盆底超声解决方案主要包括：二维模式下提供了盆腔测量工具包，能够帮助用户简单快捷完成前、中、后盆腔测量；三维/四维超声下提供了肛提肌裂孔自动成像和测量，肛提肌自动断层成像&amp;测量以及肛门括约肌定位三种工具，帮助用户快速获取肛提肌裂孔/肛门括约肌检查所需的图像，并进行各项关键指标的自动计算，显著提升了临床检查效率，以肛提肌裂孔成像和测量为例，相比于手动操作，操作耗时缩短了近30倍（由1-2分钟缩短为2s）。</w:t>
            </w:r>
          </w:p>
        </w:tc>
      </w:tr>
      <w:tr w14:paraId="4A06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1313E4F7">
            <w:pPr>
              <w:spacing w:before="0" w:after="0"/>
              <w:ind w:firstLine="0" w:firstLineChars="0"/>
              <w:jc w:val="center"/>
              <w:rPr>
                <w:color w:val="auto"/>
                <w:sz w:val="24"/>
                <w:szCs w:val="24"/>
              </w:rPr>
            </w:pPr>
            <w:r>
              <w:rPr>
                <w:color w:val="auto"/>
                <w:sz w:val="24"/>
                <w:szCs w:val="24"/>
              </w:rPr>
              <w:t>36</w:t>
            </w:r>
          </w:p>
        </w:tc>
        <w:tc>
          <w:tcPr>
            <w:tcW w:w="1418" w:type="dxa"/>
            <w:shd w:val="clear" w:color="auto" w:fill="auto"/>
            <w:vAlign w:val="center"/>
          </w:tcPr>
          <w:p w14:paraId="7D438343">
            <w:pPr>
              <w:spacing w:before="0" w:after="0"/>
              <w:ind w:firstLine="0" w:firstLineChars="0"/>
              <w:jc w:val="left"/>
              <w:rPr>
                <w:sz w:val="24"/>
                <w:szCs w:val="24"/>
              </w:rPr>
            </w:pPr>
            <w:r>
              <w:rPr>
                <w:sz w:val="24"/>
                <w:szCs w:val="24"/>
              </w:rPr>
              <w:t>EmPA子宫内膜蠕动波分析功能</w:t>
            </w:r>
          </w:p>
        </w:tc>
        <w:tc>
          <w:tcPr>
            <w:tcW w:w="6757" w:type="dxa"/>
            <w:shd w:val="clear" w:color="auto" w:fill="auto"/>
          </w:tcPr>
          <w:p w14:paraId="220F8FA3">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子宫内膜蠕动波显示与定量技术EmPA，是可直观矢量显示、自动检测并精准定量分析内膜微小蠕动的超声工具。其基于机械波原理设计，并基于迈瑞全新</w:t>
            </w:r>
            <w:r>
              <w:rPr>
                <w:rFonts w:hint="eastAsia"/>
                <w:sz w:val="24"/>
                <w:szCs w:val="24"/>
                <w:lang w:eastAsia="zh-CN"/>
              </w:rPr>
              <w:t>“</w:t>
            </w:r>
            <w:r>
              <w:rPr>
                <w:sz w:val="24"/>
                <w:szCs w:val="24"/>
              </w:rPr>
              <w:t>无极</w:t>
            </w:r>
            <w:r>
              <w:rPr>
                <w:rFonts w:hint="eastAsia"/>
                <w:sz w:val="24"/>
                <w:szCs w:val="24"/>
                <w:lang w:eastAsia="zh-CN"/>
              </w:rPr>
              <w:t>”</w:t>
            </w:r>
            <w:r>
              <w:rPr>
                <w:sz w:val="24"/>
                <w:szCs w:val="24"/>
              </w:rPr>
              <w:t>声学智慧平台，通过向人体内膜组织持续发送高帧率的超声波，基于超声原始射频回波信号，采用亚微米级运动检测专利技术与创新信号处理算法，精准跟踪子宫内膜的蠕动情况，实现内膜组织全方向蠕动的实时彩色编码显示及动态矢量显示，通过进一步提供蠕动波轨迹总览图与多个定量参数，如内膜蠕动的方向、频次、强度、传播距离、传播时间、传播速度、蠕动波间隔等，帮助医生更有效的分析整体与局部的蠕动情况，大大提升医生对微小蠕动的识别率和准确率，获得规范化的定量统计分析结果。</w:t>
            </w:r>
          </w:p>
        </w:tc>
      </w:tr>
      <w:tr w14:paraId="6078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68562624">
            <w:pPr>
              <w:spacing w:before="0" w:after="0"/>
              <w:ind w:firstLine="0" w:firstLineChars="0"/>
              <w:jc w:val="center"/>
              <w:rPr>
                <w:sz w:val="24"/>
                <w:szCs w:val="24"/>
              </w:rPr>
            </w:pPr>
            <w:r>
              <w:rPr>
                <w:color w:val="auto"/>
                <w:sz w:val="24"/>
                <w:szCs w:val="24"/>
              </w:rPr>
              <w:t>37</w:t>
            </w:r>
          </w:p>
        </w:tc>
        <w:tc>
          <w:tcPr>
            <w:tcW w:w="1418" w:type="dxa"/>
            <w:shd w:val="clear" w:color="auto" w:fill="auto"/>
            <w:vAlign w:val="center"/>
          </w:tcPr>
          <w:p w14:paraId="4C021ADA">
            <w:pPr>
              <w:spacing w:before="0" w:after="0"/>
              <w:ind w:firstLine="0" w:firstLineChars="0"/>
              <w:jc w:val="left"/>
              <w:rPr>
                <w:sz w:val="24"/>
                <w:szCs w:val="24"/>
              </w:rPr>
            </w:pPr>
            <w:r>
              <w:rPr>
                <w:sz w:val="24"/>
                <w:szCs w:val="24"/>
              </w:rPr>
              <w:t>Holo UMA微血流定量分析技术</w:t>
            </w:r>
          </w:p>
        </w:tc>
        <w:tc>
          <w:tcPr>
            <w:tcW w:w="6757" w:type="dxa"/>
            <w:shd w:val="clear" w:color="auto" w:fill="auto"/>
          </w:tcPr>
          <w:p w14:paraId="07CD0CFE">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微血流定量分析技术Holo UMA可以实现微血管走行、微血流动力学定量分析。微血管走行定量可基于任意帧超微血流（UMA）图像实现血流灌注及血管形态双维度多指标评价。血管灌注参数包括血管密度（VD）、血流容积（FWVD）、灌注指数（FPI），可以反映血管网络的密度、强度等特征；血管形态学参数包括距离指标（DM）、角度和指标（SOAM）、完整度指标（NBPA&amp;NBPPA），可反映微血管网络的分布、走行、复杂度等形态特征。微血流动力学定量是业内首发的微血流任意门频谱同时域测量技术，原始数据与UMA同源，单次采集可测多位置（最多5个SV）微血流频谱，并支持离线分析。Holo UMA技术使临床对微血管的评估，从可视化到可量化，可以用于全身各领域的微血管定量评估。</w:t>
            </w:r>
          </w:p>
        </w:tc>
      </w:tr>
      <w:tr w14:paraId="29B2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7B7259E7">
            <w:pPr>
              <w:spacing w:before="0" w:after="0"/>
              <w:ind w:firstLine="0" w:firstLineChars="0"/>
              <w:jc w:val="center"/>
              <w:rPr>
                <w:sz w:val="24"/>
                <w:szCs w:val="24"/>
              </w:rPr>
            </w:pPr>
            <w:r>
              <w:rPr>
                <w:color w:val="auto"/>
                <w:sz w:val="24"/>
                <w:szCs w:val="24"/>
              </w:rPr>
              <w:t>38</w:t>
            </w:r>
          </w:p>
        </w:tc>
        <w:tc>
          <w:tcPr>
            <w:tcW w:w="1418" w:type="dxa"/>
            <w:shd w:val="clear" w:color="auto" w:fill="auto"/>
            <w:vAlign w:val="center"/>
          </w:tcPr>
          <w:p w14:paraId="6CEFE22F">
            <w:pPr>
              <w:spacing w:before="0" w:after="0"/>
              <w:ind w:firstLine="0" w:firstLineChars="0"/>
              <w:jc w:val="left"/>
              <w:rPr>
                <w:sz w:val="24"/>
                <w:szCs w:val="24"/>
              </w:rPr>
            </w:pPr>
            <w:r>
              <w:rPr>
                <w:sz w:val="24"/>
                <w:szCs w:val="24"/>
              </w:rPr>
              <w:t>呼吸机</w:t>
            </w:r>
          </w:p>
        </w:tc>
        <w:tc>
          <w:tcPr>
            <w:tcW w:w="6757" w:type="dxa"/>
            <w:shd w:val="clear" w:color="auto" w:fill="auto"/>
            <w:vAlign w:val="center"/>
          </w:tcPr>
          <w:p w14:paraId="49C51B3C">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SV900呼吸机基于全新技术平台和大数据技术，</w:t>
            </w:r>
            <w:r>
              <w:rPr>
                <w:rFonts w:hint="eastAsia"/>
                <w:sz w:val="24"/>
                <w:szCs w:val="24"/>
              </w:rPr>
              <w:t>进行</w:t>
            </w:r>
            <w:r>
              <w:rPr>
                <w:sz w:val="24"/>
                <w:szCs w:val="24"/>
              </w:rPr>
              <w:t>人工智能识别人机不同步和通气策略评估。食道压监测技术为临床提供更多监测参数的同时，提供更加易用的操作指导。EIT融合和无需附件的呼吸努力监测功能。此外SV800/SV700机型功能配置相近，可完成部分相关子课题研究。</w:t>
            </w:r>
          </w:p>
        </w:tc>
      </w:tr>
      <w:tr w14:paraId="6E9B6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4844AF24">
            <w:pPr>
              <w:spacing w:before="0" w:after="0"/>
              <w:ind w:firstLine="0" w:firstLineChars="0"/>
              <w:jc w:val="center"/>
              <w:rPr>
                <w:sz w:val="24"/>
                <w:szCs w:val="24"/>
              </w:rPr>
            </w:pPr>
            <w:r>
              <w:rPr>
                <w:color w:val="auto"/>
                <w:sz w:val="24"/>
                <w:szCs w:val="24"/>
              </w:rPr>
              <w:t>39</w:t>
            </w:r>
          </w:p>
        </w:tc>
        <w:tc>
          <w:tcPr>
            <w:tcW w:w="1418" w:type="dxa"/>
            <w:shd w:val="clear" w:color="auto" w:fill="auto"/>
            <w:vAlign w:val="center"/>
          </w:tcPr>
          <w:p w14:paraId="0DFFDCB6">
            <w:pPr>
              <w:spacing w:before="0" w:after="0"/>
              <w:ind w:firstLine="0" w:firstLineChars="0"/>
              <w:jc w:val="left"/>
              <w:rPr>
                <w:sz w:val="24"/>
                <w:szCs w:val="24"/>
              </w:rPr>
            </w:pPr>
            <w:r>
              <w:rPr>
                <w:sz w:val="24"/>
                <w:szCs w:val="24"/>
              </w:rPr>
              <w:t>麻醉机</w:t>
            </w:r>
          </w:p>
        </w:tc>
        <w:tc>
          <w:tcPr>
            <w:tcW w:w="6757" w:type="dxa"/>
            <w:shd w:val="clear" w:color="auto" w:fill="auto"/>
            <w:vAlign w:val="center"/>
          </w:tcPr>
          <w:p w14:paraId="2BC2E36C">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sz w:val="24"/>
                <w:szCs w:val="24"/>
              </w:rPr>
            </w:pPr>
            <w:r>
              <w:rPr>
                <w:sz w:val="24"/>
                <w:szCs w:val="24"/>
              </w:rPr>
              <w:t>A7麻醉机核心硬件搭载高精度气体混合系统，结合先进的流量传感器技术，确保麻醉气体浓度的精准调控与稳定输送，为患者构筑起安全可靠的麻醉防线。在通气模式上，不仅囊括了VCV、PCV - VG等经典模式，更创新性地支持AMV自主呼吸维持通气模式与APRV气道压力释放通气模式，满足不同患者的个性化需求。此外，还可实时进行驱动压和机械能监测，为评估肺损伤风险提供精准数据。而其搭载的AnaeSight高级监测功能，集成了麻醉深度监测、BIS监测、肌松监测等多维度数据，并通过专利参数eMAC进一步量化麻醉深度，</w:t>
            </w:r>
            <w:r>
              <w:rPr>
                <w:rFonts w:hint="eastAsia"/>
                <w:sz w:val="24"/>
                <w:szCs w:val="24"/>
              </w:rPr>
              <w:t>有助</w:t>
            </w:r>
            <w:r>
              <w:rPr>
                <w:sz w:val="24"/>
                <w:szCs w:val="24"/>
              </w:rPr>
              <w:t>更精准地调控麻醉状态。</w:t>
            </w:r>
          </w:p>
        </w:tc>
      </w:tr>
      <w:tr w14:paraId="7320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5BCA0A63">
            <w:pPr>
              <w:spacing w:before="0" w:after="0"/>
              <w:ind w:firstLine="0" w:firstLineChars="0"/>
              <w:jc w:val="center"/>
              <w:rPr>
                <w:sz w:val="24"/>
                <w:szCs w:val="24"/>
              </w:rPr>
            </w:pPr>
            <w:r>
              <w:rPr>
                <w:color w:val="auto"/>
                <w:sz w:val="24"/>
                <w:szCs w:val="24"/>
              </w:rPr>
              <w:t>40</w:t>
            </w:r>
          </w:p>
        </w:tc>
        <w:tc>
          <w:tcPr>
            <w:tcW w:w="1418" w:type="dxa"/>
            <w:shd w:val="clear" w:color="auto" w:fill="auto"/>
            <w:vAlign w:val="center"/>
          </w:tcPr>
          <w:p w14:paraId="70FD61B0">
            <w:pPr>
              <w:spacing w:before="0" w:after="0"/>
              <w:ind w:firstLine="0" w:firstLineChars="0"/>
              <w:jc w:val="left"/>
              <w:rPr>
                <w:color w:val="auto"/>
                <w:sz w:val="24"/>
                <w:szCs w:val="24"/>
              </w:rPr>
            </w:pPr>
            <w:r>
              <w:rPr>
                <w:color w:val="auto"/>
                <w:sz w:val="24"/>
                <w:szCs w:val="24"/>
              </w:rPr>
              <w:t>输注泵</w:t>
            </w:r>
          </w:p>
        </w:tc>
        <w:tc>
          <w:tcPr>
            <w:tcW w:w="6757" w:type="dxa"/>
            <w:shd w:val="clear" w:color="auto" w:fill="auto"/>
            <w:vAlign w:val="center"/>
          </w:tcPr>
          <w:p w14:paraId="43998217">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color w:val="auto"/>
                <w:sz w:val="24"/>
                <w:szCs w:val="24"/>
              </w:rPr>
              <w:t>BeneFusion 系列注射泵/输液泵/输液信息采集系统采用精准的给药控制和高度信息化的解决方案，为不同临床科室提供专用的药物库信息和专用的输注模式，为临床液体治疗工作流程提供丰富优化方案。通过输液信息采集系统可以实现泵与泵之间灵活的自动化中继输注，也可以实现与中央监护系统和麻醉机的通讯，从而方便通过中央监护系统和麻醉机实时了解输注泵的工作状态并反向控制输注泵，如调节流速清除报警等功能。同时为临床整合分析患者生命体征趋势及用药详情提供了信息化基础。</w:t>
            </w:r>
          </w:p>
        </w:tc>
      </w:tr>
      <w:tr w14:paraId="060B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430AEF5A">
            <w:pPr>
              <w:spacing w:before="0" w:after="0"/>
              <w:ind w:firstLine="0" w:firstLineChars="0"/>
              <w:jc w:val="center"/>
              <w:rPr>
                <w:sz w:val="24"/>
                <w:szCs w:val="24"/>
              </w:rPr>
            </w:pPr>
            <w:r>
              <w:rPr>
                <w:color w:val="auto"/>
                <w:sz w:val="24"/>
                <w:szCs w:val="24"/>
              </w:rPr>
              <w:t>41</w:t>
            </w:r>
          </w:p>
        </w:tc>
        <w:tc>
          <w:tcPr>
            <w:tcW w:w="1418" w:type="dxa"/>
            <w:shd w:val="clear" w:color="auto" w:fill="auto"/>
            <w:vAlign w:val="center"/>
          </w:tcPr>
          <w:p w14:paraId="158D280A">
            <w:pPr>
              <w:spacing w:before="0" w:after="0"/>
              <w:ind w:firstLine="0" w:firstLineChars="0"/>
              <w:jc w:val="left"/>
              <w:rPr>
                <w:color w:val="auto"/>
                <w:sz w:val="24"/>
                <w:szCs w:val="24"/>
              </w:rPr>
            </w:pPr>
            <w:r>
              <w:rPr>
                <w:color w:val="auto"/>
                <w:sz w:val="24"/>
                <w:szCs w:val="24"/>
              </w:rPr>
              <w:t>生命体征监护仪</w:t>
            </w:r>
          </w:p>
        </w:tc>
        <w:tc>
          <w:tcPr>
            <w:tcW w:w="6757" w:type="dxa"/>
            <w:shd w:val="clear" w:color="auto" w:fill="auto"/>
            <w:vAlign w:val="center"/>
          </w:tcPr>
          <w:p w14:paraId="6345C107">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color w:val="auto"/>
                <w:sz w:val="24"/>
                <w:szCs w:val="24"/>
              </w:rPr>
              <w:t>mWear穿戴式生命体征监护仪，具备医疗级的多参数监测功能，如心电，血氧，无创血压，呼吸和体温测量等功能。设备采用了小巧的穿戴式设计，精准监测患者的运动时间和睡眠时间；同时能够识别患者四种状态：跌倒，运动，睡眠，休息，协助医护对患者康复状况的全面了解与评估。设备具备完善的网络架构，支持通过中央监护系统同步管理和查看患者状态，并支持跨学科，跨院区甚至跨院外数据互通，为多学科团队数据共享及疾病风险管理提供了网络基础。</w:t>
            </w:r>
          </w:p>
        </w:tc>
      </w:tr>
      <w:tr w14:paraId="1AEC4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7056CF38">
            <w:pPr>
              <w:spacing w:before="0" w:after="0"/>
              <w:ind w:firstLine="0" w:firstLineChars="0"/>
              <w:jc w:val="center"/>
              <w:rPr>
                <w:sz w:val="24"/>
                <w:szCs w:val="24"/>
              </w:rPr>
            </w:pPr>
            <w:r>
              <w:rPr>
                <w:color w:val="auto"/>
                <w:sz w:val="24"/>
                <w:szCs w:val="24"/>
              </w:rPr>
              <w:t>42</w:t>
            </w:r>
          </w:p>
        </w:tc>
        <w:tc>
          <w:tcPr>
            <w:tcW w:w="1418" w:type="dxa"/>
            <w:shd w:val="clear" w:color="auto" w:fill="auto"/>
            <w:vAlign w:val="center"/>
          </w:tcPr>
          <w:p w14:paraId="4D58832A">
            <w:pPr>
              <w:spacing w:before="0" w:after="0"/>
              <w:ind w:firstLine="0" w:firstLineChars="0"/>
              <w:jc w:val="left"/>
              <w:rPr>
                <w:color w:val="auto"/>
                <w:sz w:val="24"/>
                <w:szCs w:val="24"/>
              </w:rPr>
            </w:pPr>
            <w:r>
              <w:rPr>
                <w:color w:val="auto"/>
                <w:sz w:val="24"/>
                <w:szCs w:val="24"/>
              </w:rPr>
              <w:t>病人监护仪</w:t>
            </w:r>
          </w:p>
        </w:tc>
        <w:tc>
          <w:tcPr>
            <w:tcW w:w="6757" w:type="dxa"/>
            <w:shd w:val="clear" w:color="auto" w:fill="auto"/>
            <w:vAlign w:val="center"/>
          </w:tcPr>
          <w:p w14:paraId="57ACCAC8">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color w:val="auto"/>
                <w:sz w:val="24"/>
                <w:szCs w:val="24"/>
              </w:rPr>
              <w:t>BeneVision N系列监护仪，不仅具备完善的参数监测及波形显示和报警，同时具备了围绕病人生命体征状态变化进行监测、评估和预警的系统，帮助临床全面提升诊疗效率及质量，为临床提供高效便捷的临床辅助决策应用。包括脑电，脑氧，镇静深度和肌松深度等神经系统监测；PICC，漂浮导管，flotrac等血流动力学监测；二氧化碳，麻醉气体，能量代谢等临床呼吸代谢指标监测等。以及血流动力学、麻醉平衡、神经系统和药物生命体征联动等系统层面的辅助决策功能。覆盖了临床急危重症和麻醉患者的主要监测功能需求。</w:t>
            </w:r>
          </w:p>
        </w:tc>
      </w:tr>
      <w:tr w14:paraId="5EA7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74E2C412">
            <w:pPr>
              <w:spacing w:before="0" w:after="0"/>
              <w:ind w:firstLine="0" w:firstLineChars="0"/>
              <w:jc w:val="center"/>
              <w:rPr>
                <w:sz w:val="24"/>
                <w:szCs w:val="24"/>
              </w:rPr>
            </w:pPr>
            <w:r>
              <w:rPr>
                <w:color w:val="auto"/>
                <w:sz w:val="24"/>
                <w:szCs w:val="24"/>
              </w:rPr>
              <w:t>43</w:t>
            </w:r>
          </w:p>
        </w:tc>
        <w:tc>
          <w:tcPr>
            <w:tcW w:w="1418" w:type="dxa"/>
            <w:shd w:val="clear" w:color="auto" w:fill="auto"/>
            <w:vAlign w:val="center"/>
          </w:tcPr>
          <w:p w14:paraId="3A88D7D5">
            <w:pPr>
              <w:spacing w:before="0" w:after="0"/>
              <w:ind w:firstLine="0" w:firstLineChars="0"/>
              <w:jc w:val="left"/>
              <w:rPr>
                <w:color w:val="auto"/>
                <w:sz w:val="24"/>
                <w:szCs w:val="24"/>
              </w:rPr>
            </w:pPr>
          </w:p>
          <w:p w14:paraId="2ECCD26F">
            <w:pPr>
              <w:spacing w:before="0" w:after="0"/>
              <w:ind w:firstLine="0" w:firstLineChars="0"/>
              <w:rPr>
                <w:color w:val="auto"/>
                <w:sz w:val="24"/>
                <w:szCs w:val="24"/>
              </w:rPr>
            </w:pPr>
            <w:r>
              <w:rPr>
                <w:color w:val="auto"/>
                <w:sz w:val="24"/>
                <w:szCs w:val="24"/>
              </w:rPr>
              <w:t>腔镜系统</w:t>
            </w:r>
          </w:p>
          <w:p w14:paraId="02B1ADD1">
            <w:pPr>
              <w:spacing w:before="0" w:after="0"/>
              <w:ind w:firstLine="0" w:firstLineChars="0"/>
              <w:jc w:val="left"/>
              <w:rPr>
                <w:color w:val="auto"/>
                <w:sz w:val="24"/>
                <w:szCs w:val="24"/>
              </w:rPr>
            </w:pPr>
          </w:p>
        </w:tc>
        <w:tc>
          <w:tcPr>
            <w:tcW w:w="6757" w:type="dxa"/>
            <w:shd w:val="clear" w:color="auto" w:fill="auto"/>
            <w:vAlign w:val="center"/>
          </w:tcPr>
          <w:p w14:paraId="7565D4F5">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color w:val="auto"/>
                <w:sz w:val="24"/>
                <w:szCs w:val="24"/>
              </w:rPr>
              <w:t>UX7</w:t>
            </w:r>
            <w:r>
              <w:rPr>
                <w:rFonts w:hint="eastAsia"/>
                <w:color w:val="auto"/>
                <w:sz w:val="24"/>
                <w:szCs w:val="24"/>
                <w:lang w:eastAsia="zh-CN"/>
              </w:rPr>
              <w:t>：</w:t>
            </w:r>
            <w:r>
              <w:rPr>
                <w:color w:val="auto"/>
                <w:sz w:val="24"/>
                <w:szCs w:val="24"/>
              </w:rPr>
              <w:t>最新一代4K荧光3D三合一医学影像平台UX7，凭借4K超高清分辨率，助力外科医生辨识邻近组织的细微结构和色彩差异；通过荧光染色剂的nmol级灵敏度，精确标识特定病灶和靶区，确保病灶边缘的清晰与稳定；此外，该医学影像平台支持直接更换3D内窥镜以升级3D功能，为使用者带来如3D电影般的沉浸式体验。</w:t>
            </w:r>
          </w:p>
        </w:tc>
      </w:tr>
      <w:tr w14:paraId="027C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63332F99">
            <w:pPr>
              <w:spacing w:before="0" w:after="0"/>
              <w:ind w:firstLine="0" w:firstLineChars="0"/>
              <w:jc w:val="center"/>
              <w:rPr>
                <w:sz w:val="24"/>
                <w:szCs w:val="24"/>
              </w:rPr>
            </w:pPr>
            <w:r>
              <w:rPr>
                <w:color w:val="auto"/>
                <w:sz w:val="24"/>
                <w:szCs w:val="24"/>
              </w:rPr>
              <w:t>44</w:t>
            </w:r>
          </w:p>
        </w:tc>
        <w:tc>
          <w:tcPr>
            <w:tcW w:w="1418" w:type="dxa"/>
            <w:shd w:val="clear" w:color="auto" w:fill="auto"/>
            <w:vAlign w:val="center"/>
          </w:tcPr>
          <w:p w14:paraId="3DB5EA3B">
            <w:pPr>
              <w:spacing w:before="0" w:after="0"/>
              <w:ind w:firstLine="0" w:firstLineChars="0"/>
              <w:jc w:val="left"/>
              <w:rPr>
                <w:color w:val="auto"/>
                <w:sz w:val="24"/>
                <w:szCs w:val="24"/>
              </w:rPr>
            </w:pPr>
            <w:r>
              <w:rPr>
                <w:color w:val="auto"/>
                <w:sz w:val="24"/>
                <w:szCs w:val="24"/>
              </w:rPr>
              <w:t>能量平台</w:t>
            </w:r>
          </w:p>
        </w:tc>
        <w:tc>
          <w:tcPr>
            <w:tcW w:w="6757" w:type="dxa"/>
            <w:shd w:val="clear" w:color="auto" w:fill="auto"/>
          </w:tcPr>
          <w:p w14:paraId="06E7B79F">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color w:val="auto"/>
                <w:sz w:val="24"/>
                <w:szCs w:val="24"/>
              </w:rPr>
              <w:t>超声高频集成手术设备UP700系列是超声刀和电刀的集成平台，即支持同时连接超声、单极、双极、智能双极等多种器械，可大幅节省手术室空间，降低设备维护成本，针对手术室能量设备操作不互通，复杂的特点，通过扁平化菜单设计，免学习交互界面，易于操作，有效降低学习成本。且具备STS智慧组织感应技术，实时能量补偿技术，确保应对强韧组织，切割依旧高效，使得主机性能稳定如一，也可根据组织特性精准调控能量输出。</w:t>
            </w:r>
          </w:p>
        </w:tc>
      </w:tr>
      <w:tr w14:paraId="73B8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6C48FA7E">
            <w:pPr>
              <w:spacing w:before="0" w:after="0"/>
              <w:ind w:firstLine="0" w:firstLineChars="0"/>
              <w:jc w:val="center"/>
              <w:rPr>
                <w:color w:val="auto"/>
                <w:sz w:val="24"/>
                <w:szCs w:val="24"/>
              </w:rPr>
            </w:pPr>
            <w:r>
              <w:rPr>
                <w:color w:val="auto"/>
                <w:sz w:val="24"/>
                <w:szCs w:val="24"/>
              </w:rPr>
              <w:t>45</w:t>
            </w:r>
          </w:p>
        </w:tc>
        <w:tc>
          <w:tcPr>
            <w:tcW w:w="1418" w:type="dxa"/>
            <w:shd w:val="clear" w:color="auto" w:fill="auto"/>
            <w:vAlign w:val="center"/>
          </w:tcPr>
          <w:p w14:paraId="46BE97BB">
            <w:pPr>
              <w:spacing w:before="0" w:after="0"/>
              <w:ind w:firstLine="0" w:firstLineChars="0"/>
              <w:jc w:val="left"/>
              <w:rPr>
                <w:color w:val="auto"/>
                <w:sz w:val="24"/>
                <w:szCs w:val="24"/>
              </w:rPr>
            </w:pPr>
            <w:r>
              <w:rPr>
                <w:color w:val="auto"/>
                <w:sz w:val="24"/>
                <w:szCs w:val="24"/>
              </w:rPr>
              <w:t>超声刀头</w:t>
            </w:r>
          </w:p>
        </w:tc>
        <w:tc>
          <w:tcPr>
            <w:tcW w:w="6757" w:type="dxa"/>
            <w:shd w:val="clear" w:color="auto" w:fill="auto"/>
          </w:tcPr>
          <w:p w14:paraId="18CFB754">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color w:val="auto"/>
                <w:sz w:val="24"/>
                <w:szCs w:val="24"/>
              </w:rPr>
              <w:t>超声高频专用超声刀头PC系列更适用于手术的精细解剖，</w:t>
            </w:r>
            <w:r>
              <w:rPr>
                <w:rFonts w:hint="eastAsia"/>
                <w:color w:val="auto"/>
                <w:sz w:val="24"/>
                <w:szCs w:val="24"/>
              </w:rPr>
              <w:t>有助于</w:t>
            </w:r>
            <w:r>
              <w:rPr>
                <w:color w:val="auto"/>
                <w:sz w:val="24"/>
                <w:szCs w:val="24"/>
              </w:rPr>
              <w:t>淋巴结清扫、血管游离等精细操作。</w:t>
            </w:r>
          </w:p>
        </w:tc>
      </w:tr>
      <w:tr w14:paraId="074F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14E5595E">
            <w:pPr>
              <w:spacing w:before="0" w:after="0"/>
              <w:ind w:firstLine="0" w:firstLineChars="0"/>
              <w:jc w:val="center"/>
              <w:rPr>
                <w:color w:val="auto"/>
                <w:sz w:val="24"/>
                <w:szCs w:val="24"/>
              </w:rPr>
            </w:pPr>
            <w:r>
              <w:rPr>
                <w:color w:val="auto"/>
                <w:sz w:val="24"/>
                <w:szCs w:val="24"/>
              </w:rPr>
              <w:t>46</w:t>
            </w:r>
          </w:p>
        </w:tc>
        <w:tc>
          <w:tcPr>
            <w:tcW w:w="1418" w:type="dxa"/>
            <w:shd w:val="clear" w:color="auto" w:fill="auto"/>
            <w:vAlign w:val="center"/>
          </w:tcPr>
          <w:p w14:paraId="3DA22837">
            <w:pPr>
              <w:spacing w:before="0" w:after="0"/>
              <w:ind w:firstLine="0" w:firstLineChars="0"/>
              <w:jc w:val="left"/>
              <w:rPr>
                <w:color w:val="auto"/>
                <w:sz w:val="24"/>
                <w:szCs w:val="24"/>
              </w:rPr>
            </w:pPr>
            <w:r>
              <w:rPr>
                <w:color w:val="auto"/>
                <w:sz w:val="24"/>
                <w:szCs w:val="24"/>
              </w:rPr>
              <w:t>腔镜吻合器</w:t>
            </w:r>
          </w:p>
        </w:tc>
        <w:tc>
          <w:tcPr>
            <w:tcW w:w="6757" w:type="dxa"/>
            <w:shd w:val="clear" w:color="auto" w:fill="auto"/>
          </w:tcPr>
          <w:p w14:paraId="10EDA13F">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color w:val="auto"/>
                <w:sz w:val="24"/>
                <w:szCs w:val="24"/>
              </w:rPr>
              <w:t>电动腔镜吻合器PS31/PS20/192-EQ系列，通过芯片，根据组织的硬度、厚度自适应调节击发速度和成钉力，实现更高成钉良率，尤其针对厚组织有更好的成钉效果。PS31/192-EQ21/MS31/191-EQ21系列具有可拆卸鹰嘴，适用于多种狭窄空间置入如血管离断场景。</w:t>
            </w:r>
          </w:p>
        </w:tc>
      </w:tr>
      <w:tr w14:paraId="5D0A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164CEEAF">
            <w:pPr>
              <w:spacing w:before="0" w:after="0"/>
              <w:ind w:firstLine="0" w:firstLineChars="0"/>
              <w:jc w:val="center"/>
              <w:rPr>
                <w:color w:val="auto"/>
                <w:sz w:val="24"/>
                <w:szCs w:val="24"/>
              </w:rPr>
            </w:pPr>
            <w:r>
              <w:rPr>
                <w:rFonts w:hint="eastAsia"/>
                <w:color w:val="auto"/>
                <w:sz w:val="24"/>
                <w:szCs w:val="24"/>
              </w:rPr>
              <w:t>47</w:t>
            </w:r>
          </w:p>
        </w:tc>
        <w:tc>
          <w:tcPr>
            <w:tcW w:w="1418" w:type="dxa"/>
            <w:shd w:val="clear" w:color="auto" w:fill="auto"/>
            <w:vAlign w:val="center"/>
          </w:tcPr>
          <w:p w14:paraId="206D5E8E">
            <w:pPr>
              <w:spacing w:before="0" w:after="0"/>
              <w:ind w:firstLine="0" w:firstLineChars="0"/>
              <w:jc w:val="left"/>
              <w:rPr>
                <w:color w:val="auto"/>
                <w:sz w:val="24"/>
                <w:szCs w:val="24"/>
              </w:rPr>
            </w:pPr>
            <w:r>
              <w:rPr>
                <w:rFonts w:hint="eastAsia"/>
                <w:color w:val="auto"/>
                <w:sz w:val="24"/>
                <w:szCs w:val="24"/>
              </w:rPr>
              <w:t>双极血管闭合器械（智能双极）</w:t>
            </w:r>
          </w:p>
        </w:tc>
        <w:tc>
          <w:tcPr>
            <w:tcW w:w="6757" w:type="dxa"/>
            <w:shd w:val="clear" w:color="auto" w:fill="auto"/>
          </w:tcPr>
          <w:p w14:paraId="1ED14328">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rFonts w:hint="eastAsia"/>
                <w:color w:val="auto"/>
                <w:sz w:val="24"/>
                <w:szCs w:val="24"/>
              </w:rPr>
              <w:t>血管闭合器械（智能双极）是通过大幅提升凝血功率配合智能功率输出控制算法，以达到更快、更好的凝血效果，最大可闭合直径7mm的血管。既可以用于血管凝闭，也可以用于普通组织的凝闭。根据功能不同，部分还配备有血管或组织切割功能。</w:t>
            </w:r>
          </w:p>
        </w:tc>
      </w:tr>
      <w:tr w14:paraId="2FE0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678686B0">
            <w:pPr>
              <w:spacing w:before="0" w:after="0"/>
              <w:ind w:firstLine="0" w:firstLineChars="0"/>
              <w:jc w:val="center"/>
              <w:rPr>
                <w:color w:val="auto"/>
                <w:sz w:val="24"/>
                <w:szCs w:val="24"/>
              </w:rPr>
            </w:pPr>
            <w:r>
              <w:rPr>
                <w:rFonts w:hint="eastAsia"/>
                <w:color w:val="auto"/>
                <w:sz w:val="24"/>
                <w:szCs w:val="24"/>
              </w:rPr>
              <w:t>4</w:t>
            </w:r>
            <w:r>
              <w:rPr>
                <w:color w:val="auto"/>
                <w:sz w:val="24"/>
                <w:szCs w:val="24"/>
              </w:rPr>
              <w:t>8</w:t>
            </w:r>
          </w:p>
        </w:tc>
        <w:tc>
          <w:tcPr>
            <w:tcW w:w="1418" w:type="dxa"/>
            <w:shd w:val="clear" w:color="auto" w:fill="auto"/>
            <w:vAlign w:val="center"/>
          </w:tcPr>
          <w:p w14:paraId="2EE9ED2C">
            <w:pPr>
              <w:spacing w:before="0" w:after="0"/>
              <w:ind w:firstLine="0" w:firstLineChars="0"/>
              <w:jc w:val="left"/>
              <w:rPr>
                <w:color w:val="auto"/>
                <w:sz w:val="24"/>
                <w:szCs w:val="24"/>
              </w:rPr>
            </w:pPr>
            <w:r>
              <w:rPr>
                <w:rFonts w:hint="eastAsia"/>
                <w:color w:val="auto"/>
                <w:sz w:val="24"/>
                <w:szCs w:val="24"/>
              </w:rPr>
              <w:t>瑞智设备管理信息系统</w:t>
            </w:r>
          </w:p>
        </w:tc>
        <w:tc>
          <w:tcPr>
            <w:tcW w:w="6757" w:type="dxa"/>
            <w:shd w:val="clear" w:color="auto" w:fill="auto"/>
          </w:tcPr>
          <w:p w14:paraId="5F3C85A7">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rFonts w:hint="eastAsia"/>
                <w:color w:val="auto"/>
                <w:sz w:val="24"/>
                <w:szCs w:val="24"/>
              </w:rPr>
              <w:t>融合研发，管理与服务三大能力，以设备物联为基础，通过构建数据中台，集成多源设备数据并融合Al算法，打通设备全生命周期的数据链路，为每台设备建立融合静态档案与实时运行状态的电子档案，实现"状态可视，信息可查，管理有据"；基于深度融合设备元数据与专业设备知识库，通过自然语言交互的智能助理，快速查询设备知识库，分析使用数据和效益数据，生成辅助决策报告，为医工，临床与管理者提供全场景智能支持，助力设备管理从</w:t>
            </w:r>
            <w:r>
              <w:rPr>
                <w:rFonts w:hint="eastAsia"/>
                <w:color w:val="auto"/>
                <w:sz w:val="24"/>
                <w:szCs w:val="24"/>
                <w:lang w:eastAsia="zh-CN"/>
              </w:rPr>
              <w:t>“</w:t>
            </w:r>
            <w:r>
              <w:rPr>
                <w:rFonts w:hint="eastAsia"/>
                <w:color w:val="auto"/>
                <w:sz w:val="24"/>
                <w:szCs w:val="24"/>
              </w:rPr>
              <w:t>经验驱动</w:t>
            </w:r>
            <w:r>
              <w:rPr>
                <w:rFonts w:hint="eastAsia"/>
                <w:color w:val="auto"/>
                <w:sz w:val="24"/>
                <w:szCs w:val="24"/>
                <w:lang w:eastAsia="zh-CN"/>
              </w:rPr>
              <w:t>”</w:t>
            </w:r>
            <w:r>
              <w:rPr>
                <w:rFonts w:hint="eastAsia"/>
                <w:color w:val="auto"/>
                <w:sz w:val="24"/>
                <w:szCs w:val="24"/>
              </w:rPr>
              <w:t>迈向</w:t>
            </w:r>
            <w:r>
              <w:rPr>
                <w:rFonts w:hint="eastAsia"/>
                <w:color w:val="auto"/>
                <w:sz w:val="24"/>
                <w:szCs w:val="24"/>
                <w:lang w:eastAsia="zh-CN"/>
              </w:rPr>
              <w:t>“</w:t>
            </w:r>
            <w:r>
              <w:rPr>
                <w:rFonts w:hint="eastAsia"/>
                <w:color w:val="auto"/>
                <w:sz w:val="24"/>
                <w:szCs w:val="24"/>
              </w:rPr>
              <w:t>数据驱动</w:t>
            </w:r>
            <w:r>
              <w:rPr>
                <w:rFonts w:hint="eastAsia"/>
                <w:color w:val="auto"/>
                <w:sz w:val="24"/>
                <w:szCs w:val="24"/>
                <w:lang w:eastAsia="zh-CN"/>
              </w:rPr>
              <w:t>”</w:t>
            </w:r>
            <w:r>
              <w:rPr>
                <w:rFonts w:hint="eastAsia"/>
                <w:color w:val="auto"/>
                <w:sz w:val="24"/>
                <w:szCs w:val="24"/>
              </w:rPr>
              <w:t>的智能化新阶段。</w:t>
            </w:r>
          </w:p>
        </w:tc>
      </w:tr>
      <w:tr w14:paraId="69356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484DC916">
            <w:pPr>
              <w:spacing w:before="0" w:after="0"/>
              <w:ind w:firstLine="0" w:firstLineChars="0"/>
              <w:jc w:val="center"/>
              <w:rPr>
                <w:color w:val="auto"/>
                <w:sz w:val="24"/>
                <w:szCs w:val="24"/>
              </w:rPr>
            </w:pPr>
            <w:r>
              <w:rPr>
                <w:rFonts w:hint="eastAsia"/>
                <w:color w:val="auto"/>
                <w:sz w:val="24"/>
                <w:szCs w:val="24"/>
              </w:rPr>
              <w:t>4</w:t>
            </w:r>
            <w:r>
              <w:rPr>
                <w:color w:val="auto"/>
                <w:sz w:val="24"/>
                <w:szCs w:val="24"/>
              </w:rPr>
              <w:t>9</w:t>
            </w:r>
          </w:p>
        </w:tc>
        <w:tc>
          <w:tcPr>
            <w:tcW w:w="1418" w:type="dxa"/>
            <w:shd w:val="clear" w:color="auto" w:fill="auto"/>
            <w:vAlign w:val="center"/>
          </w:tcPr>
          <w:p w14:paraId="6B282BBA">
            <w:pPr>
              <w:spacing w:before="0" w:after="0"/>
              <w:ind w:firstLine="0" w:firstLineChars="0"/>
              <w:jc w:val="left"/>
              <w:rPr>
                <w:color w:val="auto"/>
                <w:sz w:val="24"/>
                <w:szCs w:val="24"/>
              </w:rPr>
            </w:pPr>
            <w:r>
              <w:rPr>
                <w:color w:val="auto"/>
                <w:sz w:val="24"/>
                <w:szCs w:val="24"/>
              </w:rPr>
              <w:t>超声</w:t>
            </w:r>
            <w:r>
              <w:rPr>
                <w:rFonts w:hint="eastAsia"/>
                <w:color w:val="auto"/>
                <w:sz w:val="24"/>
                <w:szCs w:val="24"/>
              </w:rPr>
              <w:t>骨刀</w:t>
            </w:r>
          </w:p>
        </w:tc>
        <w:tc>
          <w:tcPr>
            <w:tcW w:w="6757" w:type="dxa"/>
            <w:shd w:val="clear" w:color="auto" w:fill="auto"/>
            <w:vAlign w:val="center"/>
          </w:tcPr>
          <w:p w14:paraId="7F227D7F">
            <w:pPr>
              <w:keepNext w:val="0"/>
              <w:keepLines w:val="0"/>
              <w:pageBreakBefore w:val="0"/>
              <w:widowControl/>
              <w:kinsoku/>
              <w:wordWrap/>
              <w:overflowPunct/>
              <w:topLinePunct w:val="0"/>
              <w:autoSpaceDE/>
              <w:autoSpaceDN/>
              <w:bidi w:val="0"/>
              <w:adjustRightInd/>
              <w:snapToGrid/>
              <w:spacing w:before="0" w:after="0"/>
              <w:ind w:firstLine="480" w:firstLineChars="200"/>
              <w:textAlignment w:val="auto"/>
              <w:rPr>
                <w:color w:val="auto"/>
                <w:sz w:val="24"/>
                <w:szCs w:val="24"/>
              </w:rPr>
            </w:pPr>
            <w:r>
              <w:rPr>
                <w:rFonts w:hint="eastAsia"/>
                <w:color w:val="auto"/>
                <w:sz w:val="24"/>
                <w:szCs w:val="24"/>
              </w:rPr>
              <w:t>超声骨组织手术设备UBS系列，包含主机、脚踏、手柄、刀头、刀头扳手、管路套件和液流管套等部件，通过刀头的高频振动实现骨组织的精细截骨和整形，刀头工作的同时搭配液流供给系统给刀头进行冲洗和降温。整套产品设计简洁易用，具备软组织识别、液流控制和刀头保护等智能技术，使截骨过程更加安全可靠，进一步避免非预期的临床风险。</w:t>
            </w:r>
          </w:p>
        </w:tc>
      </w:tr>
      <w:tr w14:paraId="17BC4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4094FC03">
            <w:pPr>
              <w:spacing w:before="0" w:after="0"/>
              <w:ind w:firstLine="0" w:firstLineChars="0"/>
              <w:jc w:val="center"/>
              <w:rPr>
                <w:color w:val="auto"/>
                <w:sz w:val="24"/>
                <w:szCs w:val="24"/>
              </w:rPr>
            </w:pPr>
            <w:r>
              <w:rPr>
                <w:rFonts w:hint="eastAsia"/>
                <w:color w:val="auto"/>
                <w:sz w:val="24"/>
                <w:szCs w:val="24"/>
              </w:rPr>
              <w:t>5</w:t>
            </w:r>
            <w:r>
              <w:rPr>
                <w:color w:val="auto"/>
                <w:sz w:val="24"/>
                <w:szCs w:val="24"/>
              </w:rPr>
              <w:t>0</w:t>
            </w:r>
          </w:p>
        </w:tc>
        <w:tc>
          <w:tcPr>
            <w:tcW w:w="1418" w:type="dxa"/>
            <w:shd w:val="clear" w:color="auto" w:fill="auto"/>
            <w:vAlign w:val="center"/>
          </w:tcPr>
          <w:p w14:paraId="2E94C5AC">
            <w:pPr>
              <w:spacing w:before="0" w:after="0"/>
              <w:ind w:firstLine="0" w:firstLineChars="0"/>
              <w:jc w:val="left"/>
              <w:rPr>
                <w:color w:val="auto"/>
                <w:sz w:val="24"/>
                <w:szCs w:val="24"/>
              </w:rPr>
            </w:pPr>
            <w:r>
              <w:rPr>
                <w:rFonts w:hint="eastAsia"/>
                <w:color w:val="auto"/>
                <w:sz w:val="24"/>
                <w:szCs w:val="24"/>
              </w:rPr>
              <w:t>可撑开融合器系统</w:t>
            </w:r>
          </w:p>
        </w:tc>
        <w:tc>
          <w:tcPr>
            <w:tcW w:w="6757" w:type="dxa"/>
            <w:shd w:val="clear" w:color="auto" w:fill="auto"/>
            <w:vAlign w:val="center"/>
          </w:tcPr>
          <w:p w14:paraId="1C70355F">
            <w:pPr>
              <w:keepNext w:val="0"/>
              <w:keepLines w:val="0"/>
              <w:pageBreakBefore w:val="0"/>
              <w:widowControl/>
              <w:kinsoku/>
              <w:wordWrap/>
              <w:overflowPunct/>
              <w:topLinePunct w:val="0"/>
              <w:autoSpaceDE/>
              <w:autoSpaceDN/>
              <w:bidi w:val="0"/>
              <w:adjustRightInd/>
              <w:snapToGrid/>
              <w:spacing w:before="0" w:after="0"/>
              <w:ind w:firstLine="480" w:firstLineChars="200"/>
              <w:textAlignment w:val="auto"/>
              <w:rPr>
                <w:color w:val="auto"/>
                <w:sz w:val="24"/>
                <w:szCs w:val="24"/>
              </w:rPr>
            </w:pPr>
            <w:r>
              <w:rPr>
                <w:rFonts w:hint="eastAsia"/>
                <w:color w:val="auto"/>
                <w:sz w:val="24"/>
                <w:szCs w:val="24"/>
              </w:rPr>
              <w:t>包括植入物与配套的手术工具：植入物包括具有双向撑开功能的可撑开融合器，有不同规格型号，可适用于不同病人。手术工具包括能支持可撑开融合器术中植入的一整套器械。</w:t>
            </w:r>
          </w:p>
        </w:tc>
      </w:tr>
      <w:tr w14:paraId="746E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2D1CE424">
            <w:pPr>
              <w:spacing w:before="0" w:after="0"/>
              <w:ind w:firstLine="0" w:firstLineChars="0"/>
              <w:jc w:val="center"/>
              <w:rPr>
                <w:color w:val="auto"/>
                <w:sz w:val="24"/>
                <w:szCs w:val="24"/>
              </w:rPr>
            </w:pPr>
            <w:r>
              <w:rPr>
                <w:rFonts w:hint="eastAsia"/>
                <w:color w:val="auto"/>
                <w:sz w:val="24"/>
                <w:szCs w:val="24"/>
              </w:rPr>
              <w:t>5</w:t>
            </w:r>
            <w:r>
              <w:rPr>
                <w:color w:val="auto"/>
                <w:sz w:val="24"/>
                <w:szCs w:val="24"/>
              </w:rPr>
              <w:t>1</w:t>
            </w:r>
          </w:p>
        </w:tc>
        <w:tc>
          <w:tcPr>
            <w:tcW w:w="1418" w:type="dxa"/>
            <w:shd w:val="clear" w:color="auto" w:fill="auto"/>
            <w:vAlign w:val="center"/>
          </w:tcPr>
          <w:p w14:paraId="4868F52C">
            <w:pPr>
              <w:spacing w:before="0" w:after="0"/>
              <w:ind w:firstLine="0" w:firstLineChars="0"/>
              <w:jc w:val="left"/>
              <w:rPr>
                <w:color w:val="auto"/>
                <w:sz w:val="24"/>
                <w:szCs w:val="24"/>
              </w:rPr>
            </w:pPr>
            <w:r>
              <w:rPr>
                <w:rFonts w:hint="eastAsia"/>
                <w:color w:val="auto"/>
                <w:sz w:val="24"/>
                <w:szCs w:val="24"/>
              </w:rPr>
              <w:t>人工</w:t>
            </w:r>
            <w:r>
              <w:rPr>
                <w:color w:val="auto"/>
                <w:sz w:val="24"/>
                <w:szCs w:val="24"/>
              </w:rPr>
              <w:t>椎</w:t>
            </w:r>
            <w:r>
              <w:rPr>
                <w:rFonts w:hint="eastAsia"/>
                <w:color w:val="auto"/>
                <w:sz w:val="24"/>
                <w:szCs w:val="24"/>
              </w:rPr>
              <w:t>体系统</w:t>
            </w:r>
          </w:p>
        </w:tc>
        <w:tc>
          <w:tcPr>
            <w:tcW w:w="6757" w:type="dxa"/>
            <w:shd w:val="clear" w:color="auto" w:fill="auto"/>
            <w:vAlign w:val="center"/>
          </w:tcPr>
          <w:p w14:paraId="7D926662">
            <w:pPr>
              <w:keepNext w:val="0"/>
              <w:keepLines w:val="0"/>
              <w:pageBreakBefore w:val="0"/>
              <w:widowControl/>
              <w:kinsoku/>
              <w:wordWrap/>
              <w:overflowPunct/>
              <w:topLinePunct w:val="0"/>
              <w:autoSpaceDE/>
              <w:autoSpaceDN/>
              <w:bidi w:val="0"/>
              <w:adjustRightInd/>
              <w:snapToGrid/>
              <w:spacing w:before="0" w:after="0"/>
              <w:ind w:firstLine="480" w:firstLineChars="200"/>
              <w:textAlignment w:val="auto"/>
              <w:rPr>
                <w:color w:val="auto"/>
                <w:sz w:val="24"/>
                <w:szCs w:val="24"/>
              </w:rPr>
            </w:pPr>
            <w:r>
              <w:rPr>
                <w:rFonts w:hint="eastAsia"/>
                <w:color w:val="auto"/>
                <w:sz w:val="24"/>
                <w:szCs w:val="24"/>
              </w:rPr>
              <w:t>包括植入物与配套的手术工具：植入物包括不同规格型号的人工椎体，可适用于不同病人。手术工具包括能支持人工椎体术中植入的一整套器械。</w:t>
            </w:r>
          </w:p>
        </w:tc>
      </w:tr>
      <w:tr w14:paraId="44A4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1129" w:type="dxa"/>
            <w:shd w:val="clear" w:color="auto" w:fill="auto"/>
            <w:vAlign w:val="center"/>
          </w:tcPr>
          <w:p w14:paraId="555AD1B1">
            <w:pPr>
              <w:spacing w:before="0" w:after="0"/>
              <w:ind w:firstLine="0" w:firstLineChars="0"/>
              <w:jc w:val="center"/>
              <w:rPr>
                <w:color w:val="auto"/>
                <w:sz w:val="24"/>
                <w:szCs w:val="24"/>
              </w:rPr>
            </w:pPr>
            <w:r>
              <w:rPr>
                <w:rFonts w:hint="eastAsia"/>
                <w:color w:val="auto"/>
                <w:sz w:val="24"/>
                <w:szCs w:val="24"/>
              </w:rPr>
              <w:t>52</w:t>
            </w:r>
          </w:p>
        </w:tc>
        <w:tc>
          <w:tcPr>
            <w:tcW w:w="1418" w:type="dxa"/>
            <w:shd w:val="clear" w:color="auto" w:fill="auto"/>
            <w:vAlign w:val="center"/>
          </w:tcPr>
          <w:p w14:paraId="182B5024">
            <w:pPr>
              <w:spacing w:before="0" w:after="0"/>
              <w:ind w:firstLine="0" w:firstLineChars="0"/>
              <w:jc w:val="left"/>
              <w:rPr>
                <w:color w:val="auto"/>
                <w:sz w:val="24"/>
                <w:szCs w:val="24"/>
              </w:rPr>
            </w:pPr>
            <w:r>
              <w:rPr>
                <w:rFonts w:hint="eastAsia"/>
                <w:color w:val="auto"/>
                <w:sz w:val="24"/>
                <w:szCs w:val="24"/>
              </w:rPr>
              <w:t>单髁膝关节系统</w:t>
            </w:r>
          </w:p>
        </w:tc>
        <w:tc>
          <w:tcPr>
            <w:tcW w:w="6757" w:type="dxa"/>
            <w:shd w:val="clear" w:color="auto" w:fill="auto"/>
          </w:tcPr>
          <w:p w14:paraId="50AE2A94">
            <w:pPr>
              <w:keepNext w:val="0"/>
              <w:keepLines w:val="0"/>
              <w:pageBreakBefore w:val="0"/>
              <w:widowControl/>
              <w:kinsoku/>
              <w:wordWrap/>
              <w:overflowPunct/>
              <w:topLinePunct w:val="0"/>
              <w:autoSpaceDE/>
              <w:autoSpaceDN/>
              <w:bidi w:val="0"/>
              <w:adjustRightInd/>
              <w:snapToGrid/>
              <w:spacing w:before="0" w:after="0"/>
              <w:ind w:firstLine="480" w:firstLineChars="200"/>
              <w:jc w:val="left"/>
              <w:textAlignment w:val="auto"/>
              <w:rPr>
                <w:color w:val="auto"/>
                <w:sz w:val="24"/>
                <w:szCs w:val="24"/>
              </w:rPr>
            </w:pPr>
            <w:r>
              <w:rPr>
                <w:rFonts w:hint="eastAsia"/>
                <w:color w:val="auto"/>
                <w:sz w:val="24"/>
                <w:szCs w:val="24"/>
              </w:rPr>
              <w:t>包括植入物与配套的手术工具：植入物包括不同规格型号的单髁假体，可适用于不同病人。手术工具包括能支持单髁假体术中植入的一整套器械。</w:t>
            </w:r>
          </w:p>
        </w:tc>
      </w:tr>
    </w:tbl>
    <w:p w14:paraId="6BE26569">
      <w:pPr>
        <w:pStyle w:val="3"/>
        <w:numPr>
          <w:ilvl w:val="0"/>
          <w:numId w:val="0"/>
        </w:numPr>
        <w:spacing w:beforeLines="0" w:line="360" w:lineRule="auto"/>
        <w:ind w:firstLine="643" w:firstLineChars="200"/>
        <w:rPr>
          <w:rFonts w:hint="eastAsia" w:ascii="宋体" w:hAnsi="宋体" w:eastAsia="宋体" w:cs="宋体"/>
          <w:color w:val="auto"/>
          <w:sz w:val="32"/>
          <w:szCs w:val="32"/>
        </w:rPr>
      </w:pPr>
      <w:r>
        <w:rPr>
          <w:rFonts w:hint="eastAsia" w:ascii="宋体" w:hAnsi="宋体" w:eastAsia="宋体" w:cs="宋体"/>
          <w:color w:val="auto"/>
          <w:sz w:val="32"/>
          <w:szCs w:val="32"/>
        </w:rPr>
        <w:t>四、课题申报说明</w:t>
      </w:r>
    </w:p>
    <w:p w14:paraId="67596BD9">
      <w:pPr>
        <w:pStyle w:val="3"/>
        <w:numPr>
          <w:ilvl w:val="0"/>
          <w:numId w:val="0"/>
        </w:numPr>
        <w:spacing w:beforeLines="0" w:line="360" w:lineRule="auto"/>
        <w:ind w:firstLine="560" w:firstLineChars="200"/>
        <w:rPr>
          <w:rFonts w:eastAsia="宋体"/>
          <w:b w:val="0"/>
          <w:bCs w:val="0"/>
          <w:color w:val="auto"/>
          <w:szCs w:val="28"/>
        </w:rPr>
      </w:pPr>
      <w:r>
        <w:rPr>
          <w:rFonts w:hint="eastAsia" w:eastAsia="宋体"/>
          <w:b w:val="0"/>
          <w:bCs w:val="0"/>
          <w:color w:val="auto"/>
          <w:szCs w:val="28"/>
        </w:rPr>
        <w:t>1.申请人须仔细阅读申请指南，按照指南详细填写申请书，填写不合要求的课题会按照格式不符合要求处理。</w:t>
      </w:r>
    </w:p>
    <w:p w14:paraId="6C8B43AA">
      <w:pPr>
        <w:pStyle w:val="3"/>
        <w:numPr>
          <w:ilvl w:val="0"/>
          <w:numId w:val="0"/>
        </w:numPr>
        <w:spacing w:beforeLines="0" w:line="360" w:lineRule="auto"/>
        <w:ind w:firstLine="560" w:firstLineChars="200"/>
        <w:rPr>
          <w:rFonts w:eastAsia="宋体"/>
          <w:b w:val="0"/>
          <w:bCs w:val="0"/>
          <w:color w:val="auto"/>
          <w:szCs w:val="28"/>
        </w:rPr>
      </w:pPr>
      <w:r>
        <w:rPr>
          <w:rFonts w:hint="eastAsia" w:eastAsia="宋体"/>
          <w:b w:val="0"/>
          <w:bCs w:val="0"/>
          <w:color w:val="auto"/>
          <w:szCs w:val="28"/>
        </w:rPr>
        <w:t>2.请各课题申请人按要求填写申请书（申请书中手机和邮箱必须填写），加盖学校公章及签字后扫描上传至：</w:t>
      </w:r>
      <w:r>
        <w:rPr>
          <w:rFonts w:eastAsia="宋体"/>
          <w:bCs w:val="0"/>
          <w:color w:val="auto"/>
          <w:szCs w:val="28"/>
        </w:rPr>
        <w:t>http://cxjj.cutech.edu.cn</w:t>
      </w:r>
      <w:r>
        <w:rPr>
          <w:rFonts w:hint="eastAsia" w:eastAsia="宋体"/>
          <w:b w:val="0"/>
          <w:bCs w:val="0"/>
          <w:color w:val="auto"/>
          <w:szCs w:val="28"/>
        </w:rPr>
        <w:t>；为方便评审，申请书扫描件请按以下命名规则命名：学校名称+申请人姓名。</w:t>
      </w:r>
    </w:p>
    <w:p w14:paraId="35AFB6D0">
      <w:pPr>
        <w:pStyle w:val="3"/>
        <w:numPr>
          <w:ilvl w:val="0"/>
          <w:numId w:val="0"/>
        </w:numPr>
        <w:spacing w:beforeLines="0" w:line="360" w:lineRule="auto"/>
        <w:ind w:firstLine="560" w:firstLineChars="200"/>
        <w:rPr>
          <w:rFonts w:eastAsia="宋体"/>
          <w:b w:val="0"/>
          <w:bCs w:val="0"/>
          <w:color w:val="auto"/>
          <w:szCs w:val="28"/>
          <w:highlight w:val="none"/>
        </w:rPr>
      </w:pPr>
      <w:r>
        <w:rPr>
          <w:rFonts w:hint="eastAsia" w:eastAsia="宋体"/>
          <w:b w:val="0"/>
          <w:bCs w:val="0"/>
          <w:color w:val="auto"/>
          <w:szCs w:val="28"/>
          <w:highlight w:val="none"/>
        </w:rPr>
        <w:t>3.申请截止时间为2026年</w:t>
      </w:r>
      <w:r>
        <w:rPr>
          <w:rFonts w:hint="eastAsia" w:eastAsia="宋体"/>
          <w:b w:val="0"/>
          <w:bCs w:val="0"/>
          <w:color w:val="auto"/>
          <w:szCs w:val="28"/>
          <w:highlight w:val="none"/>
          <w:lang w:val="en-US" w:eastAsia="zh-CN"/>
        </w:rPr>
        <w:t>11</w:t>
      </w:r>
      <w:r>
        <w:rPr>
          <w:rFonts w:hint="eastAsia" w:eastAsia="宋体"/>
          <w:b w:val="0"/>
          <w:bCs w:val="0"/>
          <w:color w:val="auto"/>
          <w:szCs w:val="28"/>
          <w:highlight w:val="none"/>
        </w:rPr>
        <w:t>月</w:t>
      </w:r>
      <w:r>
        <w:rPr>
          <w:rFonts w:hint="eastAsia" w:eastAsia="宋体"/>
          <w:b w:val="0"/>
          <w:bCs w:val="0"/>
          <w:color w:val="auto"/>
          <w:szCs w:val="28"/>
          <w:highlight w:val="none"/>
          <w:lang w:val="en-US" w:eastAsia="zh-CN"/>
        </w:rPr>
        <w:t>6</w:t>
      </w:r>
      <w:r>
        <w:rPr>
          <w:rFonts w:hint="eastAsia" w:eastAsia="宋体"/>
          <w:b w:val="0"/>
          <w:bCs w:val="0"/>
          <w:color w:val="auto"/>
          <w:szCs w:val="28"/>
          <w:highlight w:val="none"/>
        </w:rPr>
        <w:t>日。</w:t>
      </w:r>
    </w:p>
    <w:p w14:paraId="31050C53">
      <w:pPr>
        <w:pStyle w:val="3"/>
        <w:numPr>
          <w:ilvl w:val="0"/>
          <w:numId w:val="0"/>
        </w:numPr>
        <w:spacing w:beforeLines="0" w:line="360" w:lineRule="auto"/>
        <w:ind w:firstLine="560" w:firstLineChars="200"/>
        <w:rPr>
          <w:rFonts w:eastAsia="宋体"/>
          <w:b w:val="0"/>
          <w:bCs w:val="0"/>
          <w:color w:val="auto"/>
          <w:szCs w:val="28"/>
          <w:highlight w:val="none"/>
        </w:rPr>
      </w:pPr>
      <w:r>
        <w:rPr>
          <w:rFonts w:hint="eastAsia" w:eastAsia="宋体"/>
          <w:b w:val="0"/>
          <w:bCs w:val="0"/>
          <w:color w:val="auto"/>
          <w:szCs w:val="28"/>
          <w:highlight w:val="none"/>
        </w:rPr>
        <w:t>4.课题的计划执行时间为2027年1月1日～2027年12月31日。</w:t>
      </w:r>
    </w:p>
    <w:p w14:paraId="29B69FED">
      <w:pPr>
        <w:pStyle w:val="3"/>
        <w:numPr>
          <w:ilvl w:val="0"/>
          <w:numId w:val="0"/>
        </w:numPr>
        <w:spacing w:beforeLines="0" w:line="360" w:lineRule="auto"/>
        <w:ind w:firstLine="560" w:firstLineChars="200"/>
        <w:rPr>
          <w:rFonts w:eastAsia="宋体"/>
          <w:b w:val="0"/>
          <w:bCs w:val="0"/>
          <w:color w:val="auto"/>
          <w:szCs w:val="28"/>
        </w:rPr>
      </w:pPr>
      <w:r>
        <w:rPr>
          <w:rFonts w:hint="eastAsia" w:eastAsia="宋体"/>
          <w:b w:val="0"/>
          <w:bCs w:val="0"/>
          <w:color w:val="auto"/>
          <w:szCs w:val="28"/>
        </w:rPr>
        <w:t>5.课题选题列表上的选题方向都不限定课题数量，但是如果存在内容重复的相似课题，专家组将根据课题组技术积累、课题方案、课题支撑条件等要素择优选择立项课题。</w:t>
      </w:r>
    </w:p>
    <w:p w14:paraId="5E21FD6B">
      <w:pPr>
        <w:pStyle w:val="3"/>
        <w:numPr>
          <w:ilvl w:val="0"/>
          <w:numId w:val="0"/>
        </w:numPr>
        <w:spacing w:beforeLines="0" w:line="360" w:lineRule="auto"/>
        <w:ind w:firstLine="560" w:firstLineChars="200"/>
        <w:rPr>
          <w:rFonts w:eastAsia="宋体"/>
          <w:b w:val="0"/>
          <w:bCs w:val="0"/>
          <w:color w:val="auto"/>
          <w:szCs w:val="28"/>
        </w:rPr>
      </w:pPr>
      <w:r>
        <w:rPr>
          <w:rFonts w:hint="eastAsia" w:eastAsia="宋体"/>
          <w:b w:val="0"/>
          <w:bCs w:val="0"/>
          <w:color w:val="auto"/>
          <w:szCs w:val="28"/>
        </w:rPr>
        <w:t>6.如果以联合课题组的形式申请课题，需要列明不同单位的课题任务。</w:t>
      </w:r>
    </w:p>
    <w:p w14:paraId="5903E629">
      <w:pPr>
        <w:pStyle w:val="3"/>
        <w:numPr>
          <w:ilvl w:val="0"/>
          <w:numId w:val="0"/>
        </w:numPr>
        <w:spacing w:beforeLines="0" w:line="360" w:lineRule="auto"/>
        <w:ind w:firstLine="560" w:firstLineChars="200"/>
        <w:rPr>
          <w:rFonts w:eastAsia="宋体"/>
          <w:b w:val="0"/>
          <w:color w:val="auto"/>
          <w:szCs w:val="28"/>
        </w:rPr>
      </w:pPr>
      <w:r>
        <w:rPr>
          <w:rFonts w:hint="eastAsia" w:eastAsia="宋体"/>
          <w:b w:val="0"/>
          <w:color w:val="auto"/>
          <w:szCs w:val="28"/>
        </w:rPr>
        <w:t>7.课题申请人无需向支持企业额外购买配套设备</w:t>
      </w:r>
      <w:r>
        <w:rPr>
          <w:rFonts w:eastAsia="宋体"/>
          <w:b w:val="0"/>
          <w:color w:val="auto"/>
          <w:szCs w:val="28"/>
        </w:rPr>
        <w:t>、产品</w:t>
      </w:r>
      <w:r>
        <w:rPr>
          <w:rFonts w:hint="eastAsia" w:eastAsia="宋体"/>
          <w:b w:val="0"/>
          <w:color w:val="auto"/>
          <w:szCs w:val="28"/>
        </w:rPr>
        <w:t>或软件。</w:t>
      </w:r>
    </w:p>
    <w:p w14:paraId="05A18924">
      <w:pPr>
        <w:pStyle w:val="3"/>
        <w:numPr>
          <w:ilvl w:val="0"/>
          <w:numId w:val="0"/>
        </w:numPr>
        <w:spacing w:beforeLines="0" w:line="360" w:lineRule="auto"/>
        <w:ind w:firstLine="643" w:firstLineChars="200"/>
        <w:rPr>
          <w:rFonts w:hint="eastAsia" w:ascii="宋体" w:hAnsi="宋体" w:eastAsia="宋体" w:cs="宋体"/>
          <w:color w:val="auto"/>
          <w:sz w:val="32"/>
          <w:szCs w:val="32"/>
        </w:rPr>
      </w:pPr>
      <w:r>
        <w:rPr>
          <w:rFonts w:hint="eastAsia" w:ascii="宋体" w:hAnsi="宋体" w:eastAsia="宋体" w:cs="宋体"/>
          <w:color w:val="auto"/>
          <w:sz w:val="32"/>
          <w:szCs w:val="32"/>
        </w:rPr>
        <w:t>五、联系人及联系方式</w:t>
      </w:r>
    </w:p>
    <w:p w14:paraId="2116E02E">
      <w:pPr>
        <w:spacing w:before="0" w:after="0" w:line="360" w:lineRule="auto"/>
        <w:ind w:firstLine="661" w:firstLineChars="235"/>
        <w:rPr>
          <w:color w:val="auto"/>
          <w:sz w:val="28"/>
          <w:szCs w:val="28"/>
        </w:rPr>
      </w:pPr>
      <w:r>
        <w:rPr>
          <w:rFonts w:hint="eastAsia"/>
          <w:b/>
          <w:color w:val="auto"/>
          <w:sz w:val="28"/>
          <w:szCs w:val="28"/>
        </w:rPr>
        <w:t>教育部高等</w:t>
      </w:r>
      <w:r>
        <w:rPr>
          <w:b/>
          <w:color w:val="auto"/>
          <w:sz w:val="28"/>
          <w:szCs w:val="28"/>
        </w:rPr>
        <w:t>学校科学研究发展中心</w:t>
      </w:r>
    </w:p>
    <w:p w14:paraId="05A2FDBC">
      <w:pPr>
        <w:spacing w:before="0" w:after="0" w:line="360" w:lineRule="auto"/>
        <w:ind w:firstLine="658" w:firstLineChars="235"/>
        <w:jc w:val="left"/>
        <w:rPr>
          <w:color w:val="auto"/>
          <w:sz w:val="28"/>
          <w:szCs w:val="28"/>
        </w:rPr>
      </w:pPr>
      <w:r>
        <w:rPr>
          <w:rFonts w:hint="eastAsia"/>
          <w:color w:val="auto"/>
          <w:sz w:val="28"/>
          <w:szCs w:val="28"/>
        </w:rPr>
        <w:t>基金申报</w:t>
      </w:r>
      <w:r>
        <w:rPr>
          <w:color w:val="auto"/>
          <w:sz w:val="28"/>
          <w:szCs w:val="28"/>
        </w:rPr>
        <w:t>：</w:t>
      </w:r>
      <w:r>
        <w:rPr>
          <w:rFonts w:hint="eastAsia"/>
          <w:color w:val="auto"/>
          <w:sz w:val="28"/>
          <w:szCs w:val="28"/>
        </w:rPr>
        <w:t>赵艳玲</w:t>
      </w:r>
      <w:r>
        <w:rPr>
          <w:color w:val="auto"/>
          <w:sz w:val="28"/>
          <w:szCs w:val="28"/>
        </w:rPr>
        <w:t xml:space="preserve">  电话：</w:t>
      </w:r>
      <w:r>
        <w:rPr>
          <w:rFonts w:hint="eastAsia"/>
          <w:color w:val="auto"/>
          <w:sz w:val="28"/>
          <w:szCs w:val="28"/>
        </w:rPr>
        <w:t>010-62514016，18618260029</w:t>
      </w:r>
    </w:p>
    <w:p w14:paraId="58ECD18A">
      <w:pPr>
        <w:spacing w:before="0" w:after="0" w:line="360" w:lineRule="auto"/>
        <w:ind w:firstLine="661" w:firstLineChars="235"/>
        <w:rPr>
          <w:b/>
          <w:color w:val="auto"/>
          <w:sz w:val="28"/>
          <w:szCs w:val="28"/>
        </w:rPr>
      </w:pPr>
      <w:r>
        <w:rPr>
          <w:rFonts w:hint="eastAsia"/>
          <w:b/>
          <w:color w:val="auto"/>
          <w:sz w:val="28"/>
          <w:szCs w:val="28"/>
        </w:rPr>
        <w:t>深圳迈瑞生物医疗电子股份有限</w:t>
      </w:r>
      <w:r>
        <w:rPr>
          <w:b/>
          <w:color w:val="auto"/>
          <w:sz w:val="28"/>
          <w:szCs w:val="28"/>
        </w:rPr>
        <w:t>公司</w:t>
      </w:r>
    </w:p>
    <w:p w14:paraId="102F7679">
      <w:pPr>
        <w:spacing w:before="0" w:after="0" w:line="360" w:lineRule="auto"/>
        <w:ind w:firstLine="658" w:firstLineChars="235"/>
        <w:jc w:val="left"/>
        <w:rPr>
          <w:color w:val="auto"/>
          <w:sz w:val="28"/>
          <w:szCs w:val="28"/>
        </w:rPr>
      </w:pPr>
      <w:r>
        <w:rPr>
          <w:rFonts w:hint="eastAsia"/>
          <w:color w:val="auto"/>
          <w:sz w:val="28"/>
          <w:szCs w:val="28"/>
        </w:rPr>
        <w:t xml:space="preserve">技术支持：杨  程  </w:t>
      </w:r>
      <w:r>
        <w:rPr>
          <w:iCs w:val="0"/>
          <w:color w:val="auto"/>
          <w:kern w:val="2"/>
          <w:sz w:val="28"/>
          <w:szCs w:val="28"/>
        </w:rPr>
        <w:t>电话：</w:t>
      </w:r>
      <w:r>
        <w:rPr>
          <w:rFonts w:hint="eastAsia"/>
          <w:color w:val="auto"/>
          <w:sz w:val="28"/>
          <w:szCs w:val="28"/>
        </w:rPr>
        <w:t xml:space="preserve">13632848726 </w:t>
      </w:r>
    </w:p>
    <w:p w14:paraId="07E0C38C">
      <w:pPr>
        <w:spacing w:before="0" w:after="0" w:line="360" w:lineRule="auto"/>
        <w:ind w:firstLine="2058" w:firstLineChars="735"/>
        <w:rPr>
          <w:iCs w:val="0"/>
          <w:color w:val="auto"/>
          <w:kern w:val="2"/>
          <w:sz w:val="28"/>
          <w:szCs w:val="28"/>
        </w:rPr>
      </w:pPr>
      <w:r>
        <w:rPr>
          <w:rFonts w:hint="eastAsia"/>
          <w:iCs w:val="0"/>
          <w:color w:val="auto"/>
          <w:kern w:val="2"/>
          <w:sz w:val="28"/>
          <w:szCs w:val="28"/>
        </w:rPr>
        <w:t xml:space="preserve">吴璐琳  </w:t>
      </w:r>
      <w:r>
        <w:rPr>
          <w:iCs w:val="0"/>
          <w:color w:val="auto"/>
          <w:kern w:val="2"/>
          <w:sz w:val="28"/>
          <w:szCs w:val="28"/>
        </w:rPr>
        <w:t>电话：</w:t>
      </w:r>
      <w:r>
        <w:rPr>
          <w:rFonts w:hint="eastAsia"/>
          <w:iCs w:val="0"/>
          <w:color w:val="auto"/>
          <w:kern w:val="2"/>
          <w:sz w:val="28"/>
          <w:szCs w:val="28"/>
        </w:rPr>
        <w:t>18017299739</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EDD3A">
    <w:pPr>
      <w:pStyle w:val="8"/>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D453E1">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D453E1">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E8022">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1183A">
    <w:pPr>
      <w:pStyle w:val="8"/>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ind w:firstLine="420"/>
      </w:pPr>
      <w:r>
        <w:separator/>
      </w:r>
    </w:p>
  </w:footnote>
  <w:footnote w:type="continuationSeparator" w:id="1">
    <w:p>
      <w:pPr>
        <w:spacing w:before="0" w:after="0"/>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38EC4">
    <w:pPr>
      <w:pStyle w:val="9"/>
      <w:pBdr>
        <w:top w:val="none" w:color="auto" w:sz="0" w:space="1"/>
        <w:left w:val="none" w:color="auto" w:sz="0" w:space="4"/>
        <w:bottom w:val="none" w:color="auto" w:sz="0" w:space="1"/>
        <w:right w:val="none" w:color="auto" w:sz="0" w:space="4"/>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700B0">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0BDC3">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DB42AA"/>
    <w:multiLevelType w:val="multilevel"/>
    <w:tmpl w:val="4FDB42AA"/>
    <w:lvl w:ilvl="0" w:tentative="0">
      <w:start w:val="1"/>
      <w:numFmt w:val="chineseCountingThousand"/>
      <w:pStyle w:val="3"/>
      <w:lvlText w:val="%1、"/>
      <w:lvlJc w:val="left"/>
      <w:pPr>
        <w:ind w:left="620" w:hanging="420"/>
      </w:p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1">
    <w:nsid w:val="7ED090CC"/>
    <w:multiLevelType w:val="singleLevel"/>
    <w:tmpl w:val="7ED090CC"/>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QwZGZlZGJjYzljY2NmOTI1MWEwYmRiNzU3NjA5NjMifQ=="/>
    <w:docVar w:name="KSO_WPS_MARK_KEY" w:val="dc8f719e-db8b-45bf-9f31-32baab838cef"/>
  </w:docVars>
  <w:rsids>
    <w:rsidRoot w:val="31C15D21"/>
    <w:rsid w:val="000107CA"/>
    <w:rsid w:val="00041CD0"/>
    <w:rsid w:val="000432C9"/>
    <w:rsid w:val="00043CED"/>
    <w:rsid w:val="00052759"/>
    <w:rsid w:val="000578CD"/>
    <w:rsid w:val="00066487"/>
    <w:rsid w:val="000737EA"/>
    <w:rsid w:val="000A0ACE"/>
    <w:rsid w:val="000A3C2C"/>
    <w:rsid w:val="000C507F"/>
    <w:rsid w:val="00121A1F"/>
    <w:rsid w:val="00126A02"/>
    <w:rsid w:val="0015585F"/>
    <w:rsid w:val="00156948"/>
    <w:rsid w:val="00181C2B"/>
    <w:rsid w:val="00193633"/>
    <w:rsid w:val="001A2E26"/>
    <w:rsid w:val="00210ADF"/>
    <w:rsid w:val="00297BB8"/>
    <w:rsid w:val="002A760B"/>
    <w:rsid w:val="002B2472"/>
    <w:rsid w:val="002B6ED0"/>
    <w:rsid w:val="002D49C6"/>
    <w:rsid w:val="002D7FBB"/>
    <w:rsid w:val="002E6BDE"/>
    <w:rsid w:val="00321870"/>
    <w:rsid w:val="00367EAA"/>
    <w:rsid w:val="003A4B3F"/>
    <w:rsid w:val="003B217C"/>
    <w:rsid w:val="003F6394"/>
    <w:rsid w:val="00444A34"/>
    <w:rsid w:val="00474EDD"/>
    <w:rsid w:val="004774A8"/>
    <w:rsid w:val="00486503"/>
    <w:rsid w:val="00486DF0"/>
    <w:rsid w:val="004A3073"/>
    <w:rsid w:val="004A3661"/>
    <w:rsid w:val="004A436A"/>
    <w:rsid w:val="004A5001"/>
    <w:rsid w:val="004F0A88"/>
    <w:rsid w:val="00527FC8"/>
    <w:rsid w:val="00533DCD"/>
    <w:rsid w:val="005420B1"/>
    <w:rsid w:val="005463A1"/>
    <w:rsid w:val="00546A35"/>
    <w:rsid w:val="00552B39"/>
    <w:rsid w:val="005776D9"/>
    <w:rsid w:val="00580B1D"/>
    <w:rsid w:val="00581D8E"/>
    <w:rsid w:val="00582759"/>
    <w:rsid w:val="005D1180"/>
    <w:rsid w:val="0063603C"/>
    <w:rsid w:val="00660C09"/>
    <w:rsid w:val="00661D65"/>
    <w:rsid w:val="00663C30"/>
    <w:rsid w:val="006806AE"/>
    <w:rsid w:val="0071743D"/>
    <w:rsid w:val="00730A6F"/>
    <w:rsid w:val="007331DF"/>
    <w:rsid w:val="00772502"/>
    <w:rsid w:val="00787D5E"/>
    <w:rsid w:val="0079019D"/>
    <w:rsid w:val="007A6540"/>
    <w:rsid w:val="007C174E"/>
    <w:rsid w:val="0081647C"/>
    <w:rsid w:val="008214C4"/>
    <w:rsid w:val="00831F07"/>
    <w:rsid w:val="00880014"/>
    <w:rsid w:val="00881D58"/>
    <w:rsid w:val="0088396B"/>
    <w:rsid w:val="008B7759"/>
    <w:rsid w:val="008C3A05"/>
    <w:rsid w:val="008D61D3"/>
    <w:rsid w:val="008E2BE9"/>
    <w:rsid w:val="008F7B6B"/>
    <w:rsid w:val="009006A5"/>
    <w:rsid w:val="00931080"/>
    <w:rsid w:val="009500A9"/>
    <w:rsid w:val="00964176"/>
    <w:rsid w:val="009743DB"/>
    <w:rsid w:val="0097546A"/>
    <w:rsid w:val="009865C1"/>
    <w:rsid w:val="009872D1"/>
    <w:rsid w:val="00996CBD"/>
    <w:rsid w:val="009D246F"/>
    <w:rsid w:val="009F01C3"/>
    <w:rsid w:val="00A04A5A"/>
    <w:rsid w:val="00A21AA6"/>
    <w:rsid w:val="00A23D1A"/>
    <w:rsid w:val="00A243BD"/>
    <w:rsid w:val="00A47567"/>
    <w:rsid w:val="00A738E3"/>
    <w:rsid w:val="00AA10DC"/>
    <w:rsid w:val="00AB6377"/>
    <w:rsid w:val="00AE791A"/>
    <w:rsid w:val="00B106A6"/>
    <w:rsid w:val="00B263F0"/>
    <w:rsid w:val="00B37C5C"/>
    <w:rsid w:val="00B55835"/>
    <w:rsid w:val="00B8686C"/>
    <w:rsid w:val="00B90BE8"/>
    <w:rsid w:val="00BC282A"/>
    <w:rsid w:val="00BC3C62"/>
    <w:rsid w:val="00BE066E"/>
    <w:rsid w:val="00C0176F"/>
    <w:rsid w:val="00C03287"/>
    <w:rsid w:val="00C208D7"/>
    <w:rsid w:val="00C244A0"/>
    <w:rsid w:val="00C50181"/>
    <w:rsid w:val="00C51D10"/>
    <w:rsid w:val="00C5383E"/>
    <w:rsid w:val="00C6218F"/>
    <w:rsid w:val="00C779F4"/>
    <w:rsid w:val="00CB4451"/>
    <w:rsid w:val="00CC03EB"/>
    <w:rsid w:val="00CE6951"/>
    <w:rsid w:val="00D17C44"/>
    <w:rsid w:val="00D22D19"/>
    <w:rsid w:val="00D27C0E"/>
    <w:rsid w:val="00D3202F"/>
    <w:rsid w:val="00D649FD"/>
    <w:rsid w:val="00D876E4"/>
    <w:rsid w:val="00DB39ED"/>
    <w:rsid w:val="00DC747F"/>
    <w:rsid w:val="00E03667"/>
    <w:rsid w:val="00E74631"/>
    <w:rsid w:val="00EA3932"/>
    <w:rsid w:val="00EB1EF1"/>
    <w:rsid w:val="00EC73F9"/>
    <w:rsid w:val="00EE355C"/>
    <w:rsid w:val="00EF22EC"/>
    <w:rsid w:val="00F01D48"/>
    <w:rsid w:val="00F05535"/>
    <w:rsid w:val="00F170D7"/>
    <w:rsid w:val="00F20B4F"/>
    <w:rsid w:val="00F44DA3"/>
    <w:rsid w:val="00F63E7D"/>
    <w:rsid w:val="00F851ED"/>
    <w:rsid w:val="00FA249C"/>
    <w:rsid w:val="00FA6674"/>
    <w:rsid w:val="00FB69B2"/>
    <w:rsid w:val="00FC2113"/>
    <w:rsid w:val="00FC35BF"/>
    <w:rsid w:val="00FD7668"/>
    <w:rsid w:val="00FD791F"/>
    <w:rsid w:val="00FE190C"/>
    <w:rsid w:val="01747354"/>
    <w:rsid w:val="019674B7"/>
    <w:rsid w:val="03993DBA"/>
    <w:rsid w:val="03B629A7"/>
    <w:rsid w:val="04117BDE"/>
    <w:rsid w:val="04A86794"/>
    <w:rsid w:val="04C3537C"/>
    <w:rsid w:val="05793C8D"/>
    <w:rsid w:val="058D6A20"/>
    <w:rsid w:val="06A93E29"/>
    <w:rsid w:val="0A74769A"/>
    <w:rsid w:val="0A7A504E"/>
    <w:rsid w:val="0C7156BE"/>
    <w:rsid w:val="0C9F4CFB"/>
    <w:rsid w:val="0CAE71A8"/>
    <w:rsid w:val="0D3E5790"/>
    <w:rsid w:val="0E2009D4"/>
    <w:rsid w:val="0ECF23DA"/>
    <w:rsid w:val="0FF53C80"/>
    <w:rsid w:val="0FFA2130"/>
    <w:rsid w:val="11B805D3"/>
    <w:rsid w:val="125F6506"/>
    <w:rsid w:val="151E333C"/>
    <w:rsid w:val="16570F0F"/>
    <w:rsid w:val="167D14CF"/>
    <w:rsid w:val="17C2508C"/>
    <w:rsid w:val="19C21C4E"/>
    <w:rsid w:val="1AC14F6D"/>
    <w:rsid w:val="1AD604EC"/>
    <w:rsid w:val="1C28386D"/>
    <w:rsid w:val="1CE24C58"/>
    <w:rsid w:val="1D4612B6"/>
    <w:rsid w:val="1D952335"/>
    <w:rsid w:val="1E9A2507"/>
    <w:rsid w:val="1EC04283"/>
    <w:rsid w:val="1F1A1BE5"/>
    <w:rsid w:val="1FFB7C68"/>
    <w:rsid w:val="20013309"/>
    <w:rsid w:val="20A728C3"/>
    <w:rsid w:val="20AF7B81"/>
    <w:rsid w:val="20BB73F7"/>
    <w:rsid w:val="214F05E5"/>
    <w:rsid w:val="24D10DE1"/>
    <w:rsid w:val="25270BB7"/>
    <w:rsid w:val="254672A4"/>
    <w:rsid w:val="25781413"/>
    <w:rsid w:val="25BD32CA"/>
    <w:rsid w:val="264B6517"/>
    <w:rsid w:val="26664013"/>
    <w:rsid w:val="267C5024"/>
    <w:rsid w:val="27163613"/>
    <w:rsid w:val="27BC1756"/>
    <w:rsid w:val="29C0428D"/>
    <w:rsid w:val="2A1A6F3D"/>
    <w:rsid w:val="2AB6F6B6"/>
    <w:rsid w:val="2B710CB1"/>
    <w:rsid w:val="2B7D15E1"/>
    <w:rsid w:val="2BA2266F"/>
    <w:rsid w:val="2BAE2033"/>
    <w:rsid w:val="2C954FA0"/>
    <w:rsid w:val="2CED0939"/>
    <w:rsid w:val="2DA17F46"/>
    <w:rsid w:val="2E1A367D"/>
    <w:rsid w:val="2EDB6FB6"/>
    <w:rsid w:val="2F9C6646"/>
    <w:rsid w:val="31230DCD"/>
    <w:rsid w:val="31580A87"/>
    <w:rsid w:val="31723B02"/>
    <w:rsid w:val="31C15D21"/>
    <w:rsid w:val="32384404"/>
    <w:rsid w:val="32A25D21"/>
    <w:rsid w:val="34054394"/>
    <w:rsid w:val="34230788"/>
    <w:rsid w:val="343E3545"/>
    <w:rsid w:val="34E92B56"/>
    <w:rsid w:val="35234530"/>
    <w:rsid w:val="3611248A"/>
    <w:rsid w:val="36964E85"/>
    <w:rsid w:val="36AF2D07"/>
    <w:rsid w:val="377063EE"/>
    <w:rsid w:val="379C717A"/>
    <w:rsid w:val="37F55A83"/>
    <w:rsid w:val="3A5B3D04"/>
    <w:rsid w:val="3AA94C1B"/>
    <w:rsid w:val="3B0B7012"/>
    <w:rsid w:val="3B7D1381"/>
    <w:rsid w:val="3BB61B00"/>
    <w:rsid w:val="3CC049DE"/>
    <w:rsid w:val="3CF67A5E"/>
    <w:rsid w:val="3D2263DC"/>
    <w:rsid w:val="3DA63A02"/>
    <w:rsid w:val="3EC76201"/>
    <w:rsid w:val="3EF91720"/>
    <w:rsid w:val="3F6E5909"/>
    <w:rsid w:val="3FDD483D"/>
    <w:rsid w:val="40FE4A6B"/>
    <w:rsid w:val="41147A97"/>
    <w:rsid w:val="412070D7"/>
    <w:rsid w:val="424B3CDF"/>
    <w:rsid w:val="42A653BA"/>
    <w:rsid w:val="431E13F4"/>
    <w:rsid w:val="43292640"/>
    <w:rsid w:val="448824A8"/>
    <w:rsid w:val="449F47B6"/>
    <w:rsid w:val="44BD67FB"/>
    <w:rsid w:val="461B5547"/>
    <w:rsid w:val="46892F47"/>
    <w:rsid w:val="469D6AD4"/>
    <w:rsid w:val="485E0E68"/>
    <w:rsid w:val="485F6737"/>
    <w:rsid w:val="48941975"/>
    <w:rsid w:val="4A744D76"/>
    <w:rsid w:val="4B482206"/>
    <w:rsid w:val="4BD066CA"/>
    <w:rsid w:val="4BEF6527"/>
    <w:rsid w:val="4C4C6170"/>
    <w:rsid w:val="4CA94424"/>
    <w:rsid w:val="4D502AF2"/>
    <w:rsid w:val="4D5C2911"/>
    <w:rsid w:val="4D970721"/>
    <w:rsid w:val="4DCD1FB9"/>
    <w:rsid w:val="4DD94ABA"/>
    <w:rsid w:val="4ED5157E"/>
    <w:rsid w:val="4F044A8C"/>
    <w:rsid w:val="4F5BDBC7"/>
    <w:rsid w:val="4F786330"/>
    <w:rsid w:val="4FED5B40"/>
    <w:rsid w:val="5032028D"/>
    <w:rsid w:val="51903EDE"/>
    <w:rsid w:val="51F872B4"/>
    <w:rsid w:val="52080B79"/>
    <w:rsid w:val="525A0A68"/>
    <w:rsid w:val="52860451"/>
    <w:rsid w:val="538A011C"/>
    <w:rsid w:val="549E05E7"/>
    <w:rsid w:val="550C37A2"/>
    <w:rsid w:val="55214D74"/>
    <w:rsid w:val="55386351"/>
    <w:rsid w:val="554D1F93"/>
    <w:rsid w:val="564B522F"/>
    <w:rsid w:val="564C1367"/>
    <w:rsid w:val="56CF718E"/>
    <w:rsid w:val="57053183"/>
    <w:rsid w:val="575903E8"/>
    <w:rsid w:val="58103ED8"/>
    <w:rsid w:val="59527BBB"/>
    <w:rsid w:val="5A9F4889"/>
    <w:rsid w:val="5B131DFB"/>
    <w:rsid w:val="5B164E85"/>
    <w:rsid w:val="5B825A02"/>
    <w:rsid w:val="5C565938"/>
    <w:rsid w:val="5FCF0454"/>
    <w:rsid w:val="5FF23BEF"/>
    <w:rsid w:val="613207EC"/>
    <w:rsid w:val="61527636"/>
    <w:rsid w:val="61565DA5"/>
    <w:rsid w:val="63012C54"/>
    <w:rsid w:val="65073F4D"/>
    <w:rsid w:val="674E66E7"/>
    <w:rsid w:val="67D38F64"/>
    <w:rsid w:val="6A083522"/>
    <w:rsid w:val="6AD14A3F"/>
    <w:rsid w:val="6AF0720C"/>
    <w:rsid w:val="6B6E08BB"/>
    <w:rsid w:val="6BDB5825"/>
    <w:rsid w:val="6C053E44"/>
    <w:rsid w:val="6C5F0204"/>
    <w:rsid w:val="6D2D62D6"/>
    <w:rsid w:val="6D3439BB"/>
    <w:rsid w:val="6D4610AE"/>
    <w:rsid w:val="6F0D37ED"/>
    <w:rsid w:val="6F0D383D"/>
    <w:rsid w:val="709F49F7"/>
    <w:rsid w:val="72120E79"/>
    <w:rsid w:val="72DD1E82"/>
    <w:rsid w:val="731C67A1"/>
    <w:rsid w:val="732B40EE"/>
    <w:rsid w:val="73892971"/>
    <w:rsid w:val="74041472"/>
    <w:rsid w:val="74946763"/>
    <w:rsid w:val="74D43C38"/>
    <w:rsid w:val="74FC0CE6"/>
    <w:rsid w:val="75DBD86D"/>
    <w:rsid w:val="763DF8D0"/>
    <w:rsid w:val="763E594A"/>
    <w:rsid w:val="77A67382"/>
    <w:rsid w:val="77BF5FFA"/>
    <w:rsid w:val="77CB499F"/>
    <w:rsid w:val="79401EF8"/>
    <w:rsid w:val="79939C11"/>
    <w:rsid w:val="79F75F20"/>
    <w:rsid w:val="7A3E4D33"/>
    <w:rsid w:val="7AAA2F92"/>
    <w:rsid w:val="7B2C573B"/>
    <w:rsid w:val="7B362A78"/>
    <w:rsid w:val="7B4F6582"/>
    <w:rsid w:val="7C9E6B26"/>
    <w:rsid w:val="7CC06A9D"/>
    <w:rsid w:val="7CEB427E"/>
    <w:rsid w:val="7D641B1E"/>
    <w:rsid w:val="7D7D7D74"/>
    <w:rsid w:val="7DA41F1A"/>
    <w:rsid w:val="7DDB7810"/>
    <w:rsid w:val="7DFF8E8F"/>
    <w:rsid w:val="7E8F6545"/>
    <w:rsid w:val="7EFE2A2D"/>
    <w:rsid w:val="7FBDD758"/>
    <w:rsid w:val="7FDFEDAE"/>
    <w:rsid w:val="7FF75659"/>
    <w:rsid w:val="9CF665BA"/>
    <w:rsid w:val="A561F633"/>
    <w:rsid w:val="BFDF3B6D"/>
    <w:rsid w:val="CF1F43F6"/>
    <w:rsid w:val="CF9E9812"/>
    <w:rsid w:val="D5E75209"/>
    <w:rsid w:val="D7B71A1E"/>
    <w:rsid w:val="D7CFFDCD"/>
    <w:rsid w:val="DFFD2165"/>
    <w:rsid w:val="E1EBEEC0"/>
    <w:rsid w:val="F37F15FE"/>
    <w:rsid w:val="F9FF1A71"/>
    <w:rsid w:val="FAFF55C7"/>
    <w:rsid w:val="FEDFEA2A"/>
    <w:rsid w:val="FEFF7B21"/>
    <w:rsid w:val="FFD4F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before="120" w:after="120"/>
      <w:ind w:firstLine="200" w:firstLineChars="200"/>
      <w:jc w:val="both"/>
    </w:pPr>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paragraph" w:styleId="2">
    <w:name w:val="heading 1"/>
    <w:basedOn w:val="1"/>
    <w:next w:val="1"/>
    <w:autoRedefine/>
    <w:qFormat/>
    <w:uiPriority w:val="9"/>
    <w:pPr>
      <w:spacing w:after="360" w:line="480" w:lineRule="exact"/>
      <w:ind w:firstLine="0" w:firstLineChars="0"/>
      <w:contextualSpacing/>
      <w:jc w:val="center"/>
      <w:outlineLvl w:val="0"/>
    </w:pPr>
    <w:rPr>
      <w:rFonts w:eastAsia="微软雅黑"/>
      <w:b/>
      <w:bCs/>
      <w:color w:val="0F243E"/>
      <w:sz w:val="32"/>
      <w:szCs w:val="22"/>
    </w:rPr>
  </w:style>
  <w:style w:type="paragraph" w:styleId="3">
    <w:name w:val="heading 2"/>
    <w:basedOn w:val="1"/>
    <w:next w:val="1"/>
    <w:autoRedefine/>
    <w:unhideWhenUsed/>
    <w:qFormat/>
    <w:uiPriority w:val="0"/>
    <w:pPr>
      <w:numPr>
        <w:ilvl w:val="0"/>
        <w:numId w:val="1"/>
      </w:numPr>
      <w:spacing w:beforeLines="50" w:after="0"/>
      <w:ind w:firstLine="0" w:firstLineChars="0"/>
      <w:contextualSpacing/>
      <w:jc w:val="left"/>
      <w:outlineLvl w:val="1"/>
    </w:pPr>
    <w:rPr>
      <w:rFonts w:eastAsia="微软雅黑"/>
      <w:b/>
      <w:bCs/>
      <w:sz w:val="28"/>
      <w:szCs w:val="22"/>
    </w:rPr>
  </w:style>
  <w:style w:type="paragraph" w:styleId="4">
    <w:name w:val="heading 3"/>
    <w:basedOn w:val="1"/>
    <w:next w:val="1"/>
    <w:autoRedefine/>
    <w:semiHidden/>
    <w:unhideWhenUsed/>
    <w:qFormat/>
    <w:uiPriority w:val="0"/>
    <w:pPr>
      <w:spacing w:before="0" w:beforeAutospacing="1" w:after="0" w:afterAutospacing="1"/>
      <w:jc w:val="left"/>
      <w:outlineLvl w:val="2"/>
    </w:pPr>
    <w:rPr>
      <w:rFonts w:hint="eastAsia" w:ascii="宋体" w:hAnsi="宋体"/>
      <w:b/>
      <w:bCs/>
      <w:sz w:val="27"/>
      <w:szCs w:val="27"/>
    </w:rPr>
  </w:style>
  <w:style w:type="paragraph" w:styleId="5">
    <w:name w:val="heading 5"/>
    <w:basedOn w:val="1"/>
    <w:next w:val="1"/>
    <w:semiHidden/>
    <w:unhideWhenUsed/>
    <w:qFormat/>
    <w:uiPriority w:val="0"/>
    <w:pPr>
      <w:spacing w:before="0" w:beforeAutospacing="1" w:after="0" w:afterAutospacing="1"/>
      <w:jc w:val="left"/>
      <w:outlineLvl w:val="4"/>
    </w:pPr>
    <w:rPr>
      <w:rFonts w:hint="eastAsia" w:ascii="宋体" w:hAnsi="宋体"/>
      <w:b/>
      <w:bCs/>
      <w:sz w:val="20"/>
    </w:rPr>
  </w:style>
  <w:style w:type="character" w:default="1" w:styleId="14">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1"/>
    <w:autoRedefine/>
    <w:qFormat/>
    <w:uiPriority w:val="0"/>
    <w:pPr>
      <w:jc w:val="left"/>
    </w:pPr>
  </w:style>
  <w:style w:type="paragraph" w:styleId="7">
    <w:name w:val="Balloon Text"/>
    <w:basedOn w:val="1"/>
    <w:link w:val="25"/>
    <w:autoRedefine/>
    <w:qFormat/>
    <w:uiPriority w:val="0"/>
    <w:pPr>
      <w:spacing w:before="0" w:after="0"/>
    </w:pPr>
    <w:rPr>
      <w:sz w:val="18"/>
      <w:szCs w:val="18"/>
    </w:rPr>
  </w:style>
  <w:style w:type="paragraph" w:styleId="8">
    <w:name w:val="footer"/>
    <w:basedOn w:val="1"/>
    <w:link w:val="24"/>
    <w:autoRedefine/>
    <w:qFormat/>
    <w:uiPriority w:val="0"/>
    <w:pPr>
      <w:tabs>
        <w:tab w:val="center" w:pos="4153"/>
        <w:tab w:val="right" w:pos="8306"/>
      </w:tabs>
      <w:snapToGrid w:val="0"/>
      <w:jc w:val="left"/>
    </w:pPr>
    <w:rPr>
      <w:sz w:val="18"/>
      <w:szCs w:val="18"/>
    </w:rPr>
  </w:style>
  <w:style w:type="paragraph" w:styleId="9">
    <w:name w:val="header"/>
    <w:basedOn w:val="1"/>
    <w:link w:val="23"/>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unhideWhenUsed/>
    <w:qFormat/>
    <w:uiPriority w:val="99"/>
    <w:pPr>
      <w:spacing w:before="100" w:beforeAutospacing="1" w:after="100" w:afterAutospacing="1"/>
      <w:ind w:firstLine="0" w:firstLineChars="0"/>
      <w:jc w:val="left"/>
    </w:pPr>
    <w:rPr>
      <w:rFonts w:ascii="宋体" w:hAnsi="宋体" w:cs="宋体"/>
      <w:iCs w:val="0"/>
      <w:color w:val="auto"/>
      <w:sz w:val="24"/>
      <w:szCs w:val="24"/>
    </w:rPr>
  </w:style>
  <w:style w:type="paragraph" w:styleId="11">
    <w:name w:val="annotation subject"/>
    <w:basedOn w:val="6"/>
    <w:next w:val="6"/>
    <w:link w:val="22"/>
    <w:autoRedefine/>
    <w:qFormat/>
    <w:uiPriority w:val="0"/>
    <w:rPr>
      <w:b/>
      <w:bCs/>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basedOn w:val="14"/>
    <w:autoRedefine/>
    <w:qFormat/>
    <w:uiPriority w:val="20"/>
    <w:rPr>
      <w:i/>
      <w:iCs/>
    </w:rPr>
  </w:style>
  <w:style w:type="character" w:styleId="16">
    <w:name w:val="Hyperlink"/>
    <w:basedOn w:val="14"/>
    <w:autoRedefine/>
    <w:qFormat/>
    <w:uiPriority w:val="0"/>
    <w:rPr>
      <w:color w:val="0000FF"/>
      <w:u w:val="single"/>
    </w:rPr>
  </w:style>
  <w:style w:type="character" w:styleId="17">
    <w:name w:val="annotation reference"/>
    <w:basedOn w:val="14"/>
    <w:autoRedefine/>
    <w:qFormat/>
    <w:uiPriority w:val="0"/>
    <w:rPr>
      <w:sz w:val="21"/>
      <w:szCs w:val="21"/>
    </w:rPr>
  </w:style>
  <w:style w:type="paragraph" w:styleId="18">
    <w:name w:val="List Paragraph"/>
    <w:basedOn w:val="1"/>
    <w:autoRedefine/>
    <w:qFormat/>
    <w:uiPriority w:val="34"/>
    <w:pPr>
      <w:ind w:left="720"/>
      <w:contextualSpacing/>
    </w:pPr>
  </w:style>
  <w:style w:type="character" w:customStyle="1" w:styleId="19">
    <w:name w:val="font21"/>
    <w:basedOn w:val="14"/>
    <w:autoRedefine/>
    <w:qFormat/>
    <w:uiPriority w:val="0"/>
    <w:rPr>
      <w:rFonts w:hint="eastAsia" w:ascii="宋体" w:hAnsi="宋体" w:eastAsia="宋体" w:cs="宋体"/>
      <w:color w:val="FF0000"/>
      <w:sz w:val="22"/>
      <w:szCs w:val="22"/>
      <w:u w:val="none"/>
    </w:rPr>
  </w:style>
  <w:style w:type="character" w:customStyle="1" w:styleId="20">
    <w:name w:val="font11"/>
    <w:basedOn w:val="14"/>
    <w:autoRedefine/>
    <w:qFormat/>
    <w:uiPriority w:val="0"/>
    <w:rPr>
      <w:rFonts w:hint="eastAsia" w:ascii="宋体" w:hAnsi="宋体" w:eastAsia="宋体" w:cs="宋体"/>
      <w:color w:val="000000"/>
      <w:sz w:val="22"/>
      <w:szCs w:val="22"/>
      <w:u w:val="none"/>
    </w:rPr>
  </w:style>
  <w:style w:type="character" w:customStyle="1" w:styleId="21">
    <w:name w:val="批注文字 字符"/>
    <w:basedOn w:val="14"/>
    <w:link w:val="6"/>
    <w:autoRedefine/>
    <w:qFormat/>
    <w:uiPriority w:val="0"/>
    <w:rPr>
      <w:iCs/>
      <w:color w:val="000000" w:themeColor="text1"/>
      <w:sz w:val="21"/>
      <w14:textFill>
        <w14:solidFill>
          <w14:schemeClr w14:val="tx1"/>
        </w14:solidFill>
      </w14:textFill>
    </w:rPr>
  </w:style>
  <w:style w:type="character" w:customStyle="1" w:styleId="22">
    <w:name w:val="批注主题 字符"/>
    <w:basedOn w:val="21"/>
    <w:link w:val="11"/>
    <w:autoRedefine/>
    <w:qFormat/>
    <w:uiPriority w:val="0"/>
    <w:rPr>
      <w:b/>
      <w:bCs/>
      <w:color w:val="000000" w:themeColor="text1"/>
      <w:sz w:val="21"/>
      <w14:textFill>
        <w14:solidFill>
          <w14:schemeClr w14:val="tx1"/>
        </w14:solidFill>
      </w14:textFill>
    </w:rPr>
  </w:style>
  <w:style w:type="character" w:customStyle="1" w:styleId="23">
    <w:name w:val="页眉 字符"/>
    <w:basedOn w:val="14"/>
    <w:link w:val="9"/>
    <w:autoRedefine/>
    <w:qFormat/>
    <w:uiPriority w:val="0"/>
    <w:rPr>
      <w:iCs/>
      <w:color w:val="000000" w:themeColor="text1"/>
      <w:sz w:val="18"/>
      <w:szCs w:val="18"/>
      <w14:textFill>
        <w14:solidFill>
          <w14:schemeClr w14:val="tx1"/>
        </w14:solidFill>
      </w14:textFill>
    </w:rPr>
  </w:style>
  <w:style w:type="character" w:customStyle="1" w:styleId="24">
    <w:name w:val="页脚 字符"/>
    <w:basedOn w:val="14"/>
    <w:link w:val="8"/>
    <w:autoRedefine/>
    <w:qFormat/>
    <w:uiPriority w:val="0"/>
    <w:rPr>
      <w:iCs/>
      <w:color w:val="000000" w:themeColor="text1"/>
      <w:sz w:val="18"/>
      <w:szCs w:val="18"/>
      <w14:textFill>
        <w14:solidFill>
          <w14:schemeClr w14:val="tx1"/>
        </w14:solidFill>
      </w14:textFill>
    </w:rPr>
  </w:style>
  <w:style w:type="character" w:customStyle="1" w:styleId="25">
    <w:name w:val="批注框文本 字符"/>
    <w:basedOn w:val="14"/>
    <w:link w:val="7"/>
    <w:autoRedefine/>
    <w:qFormat/>
    <w:uiPriority w:val="0"/>
    <w:rPr>
      <w:iCs/>
      <w:color w:val="000000" w:themeColor="text1"/>
      <w:sz w:val="18"/>
      <w:szCs w:val="18"/>
      <w14:textFill>
        <w14:solidFill>
          <w14:schemeClr w14:val="tx1"/>
        </w14:solidFill>
      </w14:textFill>
    </w:rPr>
  </w:style>
  <w:style w:type="paragraph" w:customStyle="1" w:styleId="26">
    <w:name w:val="修订1"/>
    <w:autoRedefine/>
    <w:hidden/>
    <w:semiHidden/>
    <w:qFormat/>
    <w:uiPriority w:val="99"/>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paragraph" w:customStyle="1" w:styleId="27">
    <w:name w:val="修订2"/>
    <w:autoRedefine/>
    <w:hidden/>
    <w:semiHidden/>
    <w:qFormat/>
    <w:uiPriority w:val="99"/>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paragraph" w:customStyle="1" w:styleId="28">
    <w:name w:val="修订3"/>
    <w:autoRedefine/>
    <w:hidden/>
    <w:semiHidden/>
    <w:qFormat/>
    <w:uiPriority w:val="99"/>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paragraph" w:customStyle="1" w:styleId="29">
    <w:name w:val="修订4"/>
    <w:autoRedefine/>
    <w:hidden/>
    <w:unhideWhenUsed/>
    <w:qFormat/>
    <w:uiPriority w:val="99"/>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paragraph" w:customStyle="1" w:styleId="30">
    <w:name w:val="修订5"/>
    <w:autoRedefine/>
    <w:hidden/>
    <w:unhideWhenUsed/>
    <w:qFormat/>
    <w:uiPriority w:val="99"/>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paragraph" w:customStyle="1" w:styleId="31">
    <w:name w:val="修订6"/>
    <w:autoRedefine/>
    <w:hidden/>
    <w:unhideWhenUsed/>
    <w:qFormat/>
    <w:uiPriority w:val="99"/>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paragraph" w:customStyle="1" w:styleId="32">
    <w:name w:val="修订7"/>
    <w:autoRedefine/>
    <w:hidden/>
    <w:unhideWhenUsed/>
    <w:qFormat/>
    <w:uiPriority w:val="99"/>
    <w:rPr>
      <w:rFonts w:ascii="Times New Roman" w:hAnsi="Times New Roman" w:eastAsia="宋体" w:cs="Times New Roman"/>
      <w:iCs/>
      <w:color w:val="000000" w:themeColor="text1"/>
      <w:sz w:val="21"/>
      <w:lang w:val="en-US" w:eastAsia="zh-CN" w:bidi="ar-SA"/>
      <w14:textFill>
        <w14:solidFill>
          <w14:schemeClr w14:val="tx1"/>
        </w14:solidFill>
      </w14:textFill>
    </w:rPr>
  </w:style>
  <w:style w:type="character" w:customStyle="1" w:styleId="33">
    <w:name w:val="font81"/>
    <w:basedOn w:val="14"/>
    <w:qFormat/>
    <w:uiPriority w:val="0"/>
    <w:rPr>
      <w:rFonts w:ascii="Tahoma" w:hAnsi="Tahoma" w:eastAsia="Tahoma" w:cs="Tahoma"/>
      <w:color w:val="FF0000"/>
      <w:sz w:val="22"/>
      <w:szCs w:val="22"/>
      <w:u w:val="none"/>
    </w:rPr>
  </w:style>
  <w:style w:type="character" w:customStyle="1" w:styleId="34">
    <w:name w:val="font31"/>
    <w:basedOn w:val="14"/>
    <w:qFormat/>
    <w:uiPriority w:val="0"/>
    <w:rPr>
      <w:rFonts w:hint="eastAsia" w:ascii="微软雅黑" w:hAnsi="微软雅黑" w:eastAsia="微软雅黑" w:cs="微软雅黑"/>
      <w:color w:val="000000"/>
      <w:sz w:val="18"/>
      <w:szCs w:val="18"/>
      <w:u w:val="none"/>
    </w:rPr>
  </w:style>
  <w:style w:type="character" w:customStyle="1" w:styleId="35">
    <w:name w:val="Hyperlink.0"/>
    <w:basedOn w:val="14"/>
    <w:qFormat/>
    <w:uiPriority w:val="0"/>
    <w:rPr>
      <w:rFonts w:ascii="Times New Roman" w:hAnsi="Times New Roman" w:eastAsia="Times New Roman" w:cs="Times New Roman"/>
      <w:lang w:val="en-US"/>
    </w:rPr>
  </w:style>
  <w:style w:type="character" w:customStyle="1" w:styleId="36">
    <w:name w:val="Hyperlink.1"/>
    <w:basedOn w:val="14"/>
    <w:qFormat/>
    <w:uiPriority w:val="0"/>
    <w:rPr>
      <w:lang w:val="zh-TW" w:eastAsia="zh-TW"/>
    </w:rPr>
  </w:style>
  <w:style w:type="character" w:customStyle="1" w:styleId="37">
    <w:name w:val="无"/>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9DEDDA-F6A2-4DDC-97F6-DF711EA0702E}">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19189</Words>
  <Characters>20551</Characters>
  <Lines>149</Lines>
  <Paragraphs>42</Paragraphs>
  <TotalTime>11</TotalTime>
  <ScaleCrop>false</ScaleCrop>
  <LinksUpToDate>false</LinksUpToDate>
  <CharactersWithSpaces>20661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2024-03-02T10:32:00Z</dcterms:created>
  <dc:creator>一花一世界</dc:creator>
  <cp:lastModifiedBy>ZYL</cp:lastModifiedBy>
  <cp:lastPrinted>2026-08-06T07:19:17Z</cp:lastPrinted>
  <dcterms:modified xsi:type="dcterms:W3CDTF">2026-08-06T07:25:24Z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D4BCC007047A4F3D904AAC39C0ACAE7B_13</vt:lpwstr>
  </property>
  <property fmtid="{D5CDD505-2E9C-101B-9397-08002B2CF9AE}" pid="4" name="KSOTemplateDocerSaveRecord">
    <vt:lpwstr>eyJoZGlkIjoiNjE5ODZmMTllOGI3YzYwMDQ1NTk4OTE1Y2ZmYzI5MDkiLCJ1c2VySWQiOiIxMTU5MjUzNTY4In0=</vt:lpwstr>
  </property>
</Properties>
</file>